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黑体" w:hAnsi="黑体" w:eastAsia="黑体"/>
          <w:sz w:val="44"/>
          <w:szCs w:val="44"/>
        </w:rPr>
      </w:pPr>
    </w:p>
    <w:p>
      <w:pPr>
        <w:spacing w:line="500" w:lineRule="exact"/>
        <w:jc w:val="center"/>
        <w:rPr>
          <w:rFonts w:ascii="黑体" w:hAnsi="黑体" w:eastAsia="黑体"/>
          <w:sz w:val="44"/>
          <w:szCs w:val="44"/>
        </w:rPr>
      </w:pPr>
    </w:p>
    <w:p>
      <w:pPr>
        <w:jc w:val="center"/>
        <w:rPr>
          <w:rFonts w:ascii="黑体" w:hAnsi="黑体" w:eastAsia="黑体"/>
          <w:sz w:val="48"/>
          <w:szCs w:val="48"/>
        </w:rPr>
      </w:pPr>
      <w:r>
        <w:rPr>
          <w:rFonts w:hint="eastAsia" w:ascii="黑体" w:hAnsi="黑体" w:eastAsia="黑体"/>
          <w:sz w:val="48"/>
          <w:szCs w:val="48"/>
        </w:rPr>
        <w:t>学位授权点建设年度报告</w:t>
      </w:r>
    </w:p>
    <w:p>
      <w:pPr>
        <w:jc w:val="center"/>
        <w:rPr>
          <w:rFonts w:ascii="宋体" w:hAnsi="宋体" w:eastAsia="宋体"/>
          <w:b/>
          <w:sz w:val="36"/>
          <w:szCs w:val="36"/>
        </w:rPr>
      </w:pPr>
      <w:r>
        <w:rPr>
          <w:rFonts w:ascii="宋体" w:hAnsi="宋体" w:eastAsia="宋体"/>
          <w:b/>
          <w:sz w:val="36"/>
          <w:szCs w:val="36"/>
        </w:rPr>
        <w:t>2021</w:t>
      </w:r>
      <w:r>
        <w:rPr>
          <w:rFonts w:hint="eastAsia" w:ascii="宋体" w:hAnsi="宋体" w:eastAsia="宋体"/>
          <w:b/>
          <w:sz w:val="36"/>
          <w:szCs w:val="36"/>
        </w:rPr>
        <w:t>年</w:t>
      </w: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黑体" w:hAnsi="黑体" w:eastAsia="黑体"/>
          <w:sz w:val="44"/>
          <w:szCs w:val="44"/>
        </w:rPr>
      </w:pPr>
    </w:p>
    <w:tbl>
      <w:tblPr>
        <w:tblStyle w:val="7"/>
        <w:tblW w:w="5401"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84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560" w:type="dxa"/>
            <w:vMerge w:val="restart"/>
            <w:vAlign w:val="center"/>
          </w:tcPr>
          <w:p>
            <w:pPr>
              <w:jc w:val="left"/>
              <w:rPr>
                <w:rFonts w:ascii="宋体" w:hAnsi="宋体" w:eastAsia="宋体"/>
                <w:b/>
                <w:sz w:val="32"/>
                <w:szCs w:val="32"/>
              </w:rPr>
            </w:pPr>
            <w:r>
              <w:rPr>
                <w:rFonts w:ascii="宋体" w:hAnsi="宋体" w:eastAsia="宋体"/>
                <w:b/>
                <w:spacing w:val="97"/>
                <w:kern w:val="0"/>
                <w:sz w:val="32"/>
                <w:szCs w:val="32"/>
                <w:fitText w:val="1348" w:id="-1547514624"/>
              </w:rPr>
              <w:t>学位</w:t>
            </w:r>
            <w:r>
              <w:rPr>
                <w:rFonts w:ascii="宋体" w:hAnsi="宋体" w:eastAsia="宋体"/>
                <w:b/>
                <w:spacing w:val="0"/>
                <w:kern w:val="0"/>
                <w:sz w:val="32"/>
                <w:szCs w:val="32"/>
                <w:fitText w:val="1348" w:id="-1547514624"/>
              </w:rPr>
              <w:t>点</w:t>
            </w:r>
          </w:p>
        </w:tc>
        <w:tc>
          <w:tcPr>
            <w:tcW w:w="3841" w:type="dxa"/>
            <w:vAlign w:val="center"/>
          </w:tcPr>
          <w:p>
            <w:pPr>
              <w:rPr>
                <w:rFonts w:hint="default" w:ascii="宋体" w:hAnsi="宋体" w:eastAsia="宋体"/>
                <w:b/>
                <w:sz w:val="32"/>
                <w:szCs w:val="32"/>
                <w:lang w:val="en-US" w:eastAsia="zh-CN"/>
              </w:rPr>
            </w:pPr>
            <w:r>
              <w:rPr>
                <w:rFonts w:hint="eastAsia" w:ascii="宋体" w:hAnsi="宋体" w:eastAsia="宋体"/>
                <w:b/>
                <w:sz w:val="32"/>
                <w:szCs w:val="32"/>
              </w:rPr>
              <w:t>名称：</w:t>
            </w:r>
            <w:r>
              <w:rPr>
                <w:rFonts w:hint="eastAsia" w:ascii="宋体" w:hAnsi="宋体" w:eastAsia="宋体"/>
                <w:b/>
                <w:sz w:val="32"/>
                <w:szCs w:val="32"/>
                <w:lang w:val="en-US" w:eastAsia="zh-CN"/>
              </w:rPr>
              <w:t>中国语言文学</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560" w:type="dxa"/>
            <w:vMerge w:val="continue"/>
            <w:vAlign w:val="center"/>
          </w:tcPr>
          <w:p>
            <w:pPr>
              <w:widowControl/>
              <w:jc w:val="left"/>
              <w:rPr>
                <w:rFonts w:ascii="宋体" w:hAnsi="宋体" w:eastAsia="宋体"/>
                <w:b/>
                <w:sz w:val="32"/>
                <w:szCs w:val="32"/>
              </w:rPr>
            </w:pPr>
          </w:p>
        </w:tc>
        <w:tc>
          <w:tcPr>
            <w:tcW w:w="3841" w:type="dxa"/>
            <w:vAlign w:val="center"/>
          </w:tcPr>
          <w:p>
            <w:pPr>
              <w:rPr>
                <w:rFonts w:hint="default" w:ascii="宋体" w:hAnsi="宋体" w:eastAsia="宋体"/>
                <w:b/>
                <w:sz w:val="32"/>
                <w:szCs w:val="32"/>
                <w:lang w:val="en-US" w:eastAsia="zh-CN"/>
              </w:rPr>
            </w:pPr>
            <w:r>
              <w:rPr>
                <w:rFonts w:hint="eastAsia" w:ascii="宋体" w:hAnsi="宋体" w:eastAsia="宋体"/>
                <w:b/>
                <w:sz w:val="32"/>
                <w:szCs w:val="32"/>
              </w:rPr>
              <w:t>代码：</w:t>
            </w:r>
            <w:r>
              <w:rPr>
                <w:rFonts w:hint="eastAsia" w:ascii="宋体" w:hAnsi="宋体" w:eastAsia="宋体"/>
                <w:b/>
                <w:sz w:val="32"/>
                <w:szCs w:val="32"/>
                <w:lang w:val="en-US" w:eastAsia="zh-CN"/>
              </w:rPr>
              <w:t>0501</w:t>
            </w:r>
          </w:p>
        </w:tc>
      </w:tr>
    </w:tbl>
    <w:p>
      <w:pPr>
        <w:spacing w:line="480" w:lineRule="auto"/>
        <w:jc w:val="center"/>
        <w:rPr>
          <w:rFonts w:ascii="宋体" w:hAnsi="宋体" w:eastAsia="宋体" w:cs="Times New Roman"/>
          <w:b/>
          <w:sz w:val="32"/>
          <w:szCs w:val="32"/>
        </w:rPr>
      </w:pPr>
    </w:p>
    <w:tbl>
      <w:tblPr>
        <w:tblStyle w:val="7"/>
        <w:tblW w:w="5401"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84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560" w:type="dxa"/>
            <w:vMerge w:val="restart"/>
            <w:vAlign w:val="center"/>
          </w:tcPr>
          <w:p>
            <w:pPr>
              <w:jc w:val="center"/>
              <w:rPr>
                <w:rFonts w:ascii="宋体" w:hAnsi="宋体" w:eastAsia="宋体"/>
                <w:b/>
                <w:sz w:val="32"/>
                <w:szCs w:val="32"/>
              </w:rPr>
            </w:pPr>
            <w:r>
              <w:rPr>
                <w:rFonts w:hint="eastAsia" w:ascii="宋体" w:hAnsi="宋体" w:eastAsia="宋体"/>
                <w:b/>
                <w:sz w:val="32"/>
                <w:szCs w:val="32"/>
              </w:rPr>
              <w:t>学位类型</w:t>
            </w:r>
          </w:p>
        </w:tc>
        <w:tc>
          <w:tcPr>
            <w:tcW w:w="3841" w:type="dxa"/>
            <w:vAlign w:val="center"/>
          </w:tcPr>
          <w:p>
            <w:pPr>
              <w:rPr>
                <w:rFonts w:ascii="宋体" w:hAnsi="宋体" w:eastAsia="宋体"/>
                <w:b/>
                <w:sz w:val="32"/>
                <w:szCs w:val="32"/>
              </w:rPr>
            </w:pPr>
            <w:r>
              <w:rPr>
                <w:rFonts w:ascii="宋体" w:hAnsi="宋体" w:eastAsia="宋体"/>
                <w:b/>
                <w:sz w:val="32"/>
                <w:szCs w:val="32"/>
              </w:rPr>
              <w:sym w:font="Wingdings 2" w:char="0052"/>
            </w:r>
            <w:r>
              <w:rPr>
                <w:rFonts w:ascii="宋体" w:hAnsi="宋体" w:eastAsia="宋体"/>
                <w:b/>
                <w:sz w:val="32"/>
                <w:szCs w:val="32"/>
              </w:rPr>
              <w:t xml:space="preserve"> </w:t>
            </w:r>
            <w:r>
              <w:rPr>
                <w:rFonts w:hint="eastAsia" w:ascii="宋体" w:hAnsi="宋体" w:eastAsia="宋体"/>
                <w:b/>
                <w:sz w:val="32"/>
                <w:szCs w:val="32"/>
              </w:rPr>
              <w:t>学术学位</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560" w:type="dxa"/>
            <w:vMerge w:val="continue"/>
            <w:vAlign w:val="center"/>
          </w:tcPr>
          <w:p>
            <w:pPr>
              <w:widowControl/>
              <w:jc w:val="left"/>
              <w:rPr>
                <w:rFonts w:ascii="宋体" w:hAnsi="宋体" w:eastAsia="宋体"/>
                <w:b/>
                <w:sz w:val="32"/>
                <w:szCs w:val="32"/>
              </w:rPr>
            </w:pPr>
          </w:p>
        </w:tc>
        <w:tc>
          <w:tcPr>
            <w:tcW w:w="3841" w:type="dxa"/>
            <w:vAlign w:val="center"/>
          </w:tcPr>
          <w:p>
            <w:pPr>
              <w:rPr>
                <w:rFonts w:ascii="宋体" w:hAnsi="宋体" w:eastAsia="宋体"/>
                <w:b/>
                <w:sz w:val="32"/>
                <w:szCs w:val="32"/>
              </w:rPr>
            </w:pPr>
            <w:r>
              <w:rPr>
                <w:rFonts w:ascii="宋体" w:hAnsi="宋体" w:eastAsia="宋体"/>
                <w:b/>
                <w:sz w:val="32"/>
                <w:szCs w:val="32"/>
              </w:rPr>
              <w:t xml:space="preserve">□ </w:t>
            </w:r>
            <w:r>
              <w:rPr>
                <w:rFonts w:hint="eastAsia" w:ascii="宋体" w:hAnsi="宋体" w:eastAsia="宋体"/>
                <w:b/>
                <w:sz w:val="32"/>
                <w:szCs w:val="32"/>
              </w:rPr>
              <w:t>专业学位</w:t>
            </w:r>
          </w:p>
        </w:tc>
      </w:tr>
    </w:tbl>
    <w:p>
      <w:pPr>
        <w:spacing w:line="480" w:lineRule="auto"/>
        <w:jc w:val="center"/>
        <w:rPr>
          <w:rFonts w:ascii="宋体" w:hAnsi="宋体" w:eastAsia="宋体" w:cs="Times New Roman"/>
          <w:b/>
          <w:sz w:val="32"/>
          <w:szCs w:val="32"/>
        </w:rPr>
      </w:pPr>
    </w:p>
    <w:tbl>
      <w:tblPr>
        <w:tblStyle w:val="7"/>
        <w:tblW w:w="5401" w:type="dxa"/>
        <w:jc w:val="center"/>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384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560" w:type="dxa"/>
            <w:vMerge w:val="restart"/>
            <w:vAlign w:val="center"/>
          </w:tcPr>
          <w:p>
            <w:pPr>
              <w:jc w:val="center"/>
              <w:rPr>
                <w:rFonts w:ascii="宋体" w:hAnsi="宋体" w:eastAsia="宋体"/>
                <w:b/>
                <w:sz w:val="32"/>
                <w:szCs w:val="32"/>
              </w:rPr>
            </w:pPr>
            <w:r>
              <w:rPr>
                <w:rFonts w:hint="eastAsia" w:ascii="宋体" w:hAnsi="宋体" w:eastAsia="宋体"/>
                <w:b/>
                <w:sz w:val="32"/>
                <w:szCs w:val="32"/>
              </w:rPr>
              <w:t>学位等级</w:t>
            </w:r>
          </w:p>
        </w:tc>
        <w:tc>
          <w:tcPr>
            <w:tcW w:w="3841" w:type="dxa"/>
            <w:vAlign w:val="center"/>
          </w:tcPr>
          <w:p>
            <w:pPr>
              <w:rPr>
                <w:rFonts w:ascii="宋体" w:hAnsi="宋体" w:eastAsia="宋体"/>
                <w:b/>
                <w:sz w:val="32"/>
                <w:szCs w:val="32"/>
              </w:rPr>
            </w:pPr>
            <w:r>
              <w:rPr>
                <w:rFonts w:ascii="宋体" w:hAnsi="宋体" w:eastAsia="宋体"/>
                <w:b/>
                <w:sz w:val="32"/>
                <w:szCs w:val="32"/>
              </w:rPr>
              <w:sym w:font="Wingdings 2" w:char="0052"/>
            </w:r>
            <w:r>
              <w:rPr>
                <w:rFonts w:ascii="宋体" w:hAnsi="宋体" w:eastAsia="宋体"/>
                <w:b/>
                <w:sz w:val="32"/>
                <w:szCs w:val="32"/>
              </w:rPr>
              <w:t xml:space="preserve"> 博</w:t>
            </w:r>
            <w:r>
              <w:rPr>
                <w:rFonts w:hint="eastAsia" w:ascii="宋体" w:hAnsi="宋体" w:eastAsia="宋体"/>
                <w:b/>
                <w:sz w:val="32"/>
                <w:szCs w:val="32"/>
              </w:rPr>
              <w:t xml:space="preserve"> 士</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1560" w:type="dxa"/>
            <w:vMerge w:val="continue"/>
            <w:vAlign w:val="center"/>
          </w:tcPr>
          <w:p>
            <w:pPr>
              <w:widowControl/>
              <w:jc w:val="left"/>
              <w:rPr>
                <w:rFonts w:ascii="宋体" w:hAnsi="宋体" w:eastAsia="宋体"/>
                <w:b/>
                <w:sz w:val="32"/>
                <w:szCs w:val="32"/>
              </w:rPr>
            </w:pPr>
          </w:p>
        </w:tc>
        <w:tc>
          <w:tcPr>
            <w:tcW w:w="3841" w:type="dxa"/>
            <w:vAlign w:val="center"/>
          </w:tcPr>
          <w:p>
            <w:pPr>
              <w:rPr>
                <w:rFonts w:ascii="宋体" w:hAnsi="宋体" w:eastAsia="宋体"/>
                <w:b/>
                <w:sz w:val="32"/>
                <w:szCs w:val="32"/>
              </w:rPr>
            </w:pPr>
            <w:r>
              <w:rPr>
                <w:rFonts w:ascii="宋体" w:hAnsi="宋体" w:eastAsia="宋体"/>
                <w:b/>
                <w:sz w:val="32"/>
                <w:szCs w:val="32"/>
              </w:rPr>
              <w:t>□ 硕</w:t>
            </w:r>
            <w:r>
              <w:rPr>
                <w:rFonts w:hint="eastAsia" w:ascii="宋体" w:hAnsi="宋体" w:eastAsia="宋体"/>
                <w:b/>
                <w:sz w:val="32"/>
                <w:szCs w:val="32"/>
              </w:rPr>
              <w:t xml:space="preserve"> 士</w:t>
            </w:r>
          </w:p>
        </w:tc>
      </w:tr>
    </w:tbl>
    <w:p>
      <w:pPr>
        <w:spacing w:line="720" w:lineRule="auto"/>
        <w:jc w:val="center"/>
        <w:rPr>
          <w:rFonts w:ascii="宋体" w:hAnsi="宋体" w:eastAsia="宋体" w:cs="Times New Roman"/>
          <w:b/>
          <w:sz w:val="30"/>
          <w:szCs w:val="30"/>
        </w:rPr>
      </w:pPr>
    </w:p>
    <w:p>
      <w:pPr>
        <w:jc w:val="center"/>
        <w:rPr>
          <w:rFonts w:ascii="黑体" w:hAnsi="黑体" w:eastAsia="黑体"/>
          <w:sz w:val="44"/>
          <w:szCs w:val="44"/>
        </w:rPr>
      </w:pPr>
    </w:p>
    <w:p>
      <w:pPr>
        <w:jc w:val="center"/>
        <w:rPr>
          <w:rFonts w:ascii="黑体" w:hAnsi="黑体" w:eastAsia="黑体"/>
          <w:sz w:val="44"/>
          <w:szCs w:val="44"/>
        </w:rPr>
      </w:pPr>
    </w:p>
    <w:p>
      <w:pPr>
        <w:jc w:val="center"/>
        <w:rPr>
          <w:rFonts w:ascii="宋体" w:hAnsi="宋体" w:eastAsia="宋体"/>
          <w:b/>
          <w:sz w:val="36"/>
          <w:szCs w:val="36"/>
        </w:rPr>
      </w:pPr>
      <w:r>
        <w:rPr>
          <w:rFonts w:hint="eastAsia" w:ascii="宋体" w:hAnsi="宋体" w:eastAsia="宋体"/>
          <w:b/>
          <w:sz w:val="36"/>
          <w:szCs w:val="36"/>
        </w:rPr>
        <w:t>江西师范师范大学</w:t>
      </w:r>
    </w:p>
    <w:p>
      <w:pPr>
        <w:jc w:val="center"/>
        <w:rPr>
          <w:rFonts w:ascii="宋体" w:hAnsi="宋体" w:eastAsia="宋体"/>
          <w:b/>
          <w:sz w:val="36"/>
          <w:szCs w:val="36"/>
        </w:rPr>
        <w:sectPr>
          <w:pgSz w:w="11906" w:h="16838"/>
          <w:pgMar w:top="1440" w:right="1800" w:bottom="1440" w:left="1800" w:header="851" w:footer="992" w:gutter="0"/>
          <w:cols w:space="425" w:num="1"/>
          <w:docGrid w:type="lines" w:linePitch="312" w:charSpace="0"/>
        </w:sectPr>
      </w:pPr>
      <w:r>
        <w:rPr>
          <w:rFonts w:hint="eastAsia" w:ascii="宋体" w:hAnsi="宋体" w:eastAsia="宋体"/>
          <w:b/>
          <w:sz w:val="36"/>
          <w:szCs w:val="36"/>
        </w:rPr>
        <w:t>2</w:t>
      </w:r>
      <w:r>
        <w:rPr>
          <w:rFonts w:ascii="宋体" w:hAnsi="宋体" w:eastAsia="宋体"/>
          <w:b/>
          <w:sz w:val="36"/>
          <w:szCs w:val="36"/>
        </w:rPr>
        <w:t>022</w:t>
      </w:r>
      <w:r>
        <w:rPr>
          <w:rFonts w:hint="eastAsia" w:ascii="宋体" w:hAnsi="宋体" w:eastAsia="宋体"/>
          <w:b/>
          <w:sz w:val="36"/>
          <w:szCs w:val="36"/>
        </w:rPr>
        <w:t>年4月</w:t>
      </w:r>
    </w:p>
    <w:p>
      <w:pPr>
        <w:widowControl/>
        <w:spacing w:line="560" w:lineRule="exact"/>
        <w:textAlignment w:val="baseline"/>
        <w:rPr>
          <w:rStyle w:val="11"/>
          <w:rFonts w:ascii="黑体" w:hAnsi="黑体" w:eastAsia="黑体" w:cs="黑体"/>
          <w:szCs w:val="32"/>
        </w:rPr>
      </w:pPr>
      <w:r>
        <w:rPr>
          <w:rStyle w:val="11"/>
          <w:rFonts w:hint="eastAsia" w:ascii="黑体" w:hAnsi="黑体" w:eastAsia="黑体"/>
          <w:szCs w:val="32"/>
        </w:rPr>
        <w:t xml:space="preserve">   </w:t>
      </w:r>
      <w:r>
        <w:rPr>
          <w:rStyle w:val="11"/>
          <w:rFonts w:hint="eastAsia" w:ascii="黑体" w:hAnsi="黑体" w:eastAsia="黑体" w:cs="黑体"/>
          <w:szCs w:val="32"/>
        </w:rPr>
        <w:t xml:space="preserve"> 一、总体概况</w:t>
      </w:r>
    </w:p>
    <w:p>
      <w:pPr>
        <w:pStyle w:val="6"/>
        <w:keepNext w:val="0"/>
        <w:keepLines w:val="0"/>
        <w:pageBreakBefore w:val="0"/>
        <w:widowControl/>
        <w:shd w:val="clear" w:color="auto" w:fill="FFFFFF"/>
        <w:kinsoku/>
        <w:wordWrap/>
        <w:overflowPunct/>
        <w:topLinePunct w:val="0"/>
        <w:autoSpaceDE/>
        <w:autoSpaceDN/>
        <w:bidi w:val="0"/>
        <w:spacing w:after="48" w:afterAutospacing="0" w:line="240" w:lineRule="auto"/>
        <w:ind w:firstLine="624" w:firstLineChars="200"/>
        <w:jc w:val="both"/>
        <w:rPr>
          <w:rFonts w:hint="eastAsia" w:ascii="仿宋_GB2312" w:hAnsi="仿宋_GB2312" w:eastAsia="仿宋_GB2312" w:cs="仿宋_GB2312"/>
          <w:spacing w:val="-4"/>
          <w:kern w:val="0"/>
          <w:sz w:val="32"/>
          <w:szCs w:val="32"/>
          <w:lang w:val="zh-CN" w:eastAsia="zh-CN" w:bidi="zh-CN"/>
        </w:rPr>
      </w:pPr>
      <w:r>
        <w:rPr>
          <w:rFonts w:hint="eastAsia" w:ascii="仿宋_GB2312" w:hAnsi="仿宋_GB2312" w:eastAsia="仿宋_GB2312" w:cs="仿宋_GB2312"/>
          <w:spacing w:val="-4"/>
          <w:kern w:val="0"/>
          <w:sz w:val="32"/>
          <w:szCs w:val="32"/>
          <w:lang w:val="en-US" w:eastAsia="zh-CN" w:bidi="zh-CN"/>
        </w:rPr>
        <w:t>江西师范大学</w:t>
      </w:r>
      <w:r>
        <w:rPr>
          <w:rFonts w:hint="eastAsia" w:ascii="仿宋_GB2312" w:hAnsi="仿宋_GB2312" w:eastAsia="仿宋_GB2312" w:cs="仿宋_GB2312"/>
          <w:spacing w:val="-4"/>
          <w:kern w:val="0"/>
          <w:sz w:val="32"/>
          <w:szCs w:val="32"/>
          <w:lang w:val="zh-CN" w:eastAsia="zh-CN" w:bidi="zh-CN"/>
        </w:rPr>
        <w:t>中国语言文学学科为江西省高校“八五”至“十三五”重点学科。多年来，</w:t>
      </w:r>
      <w:r>
        <w:rPr>
          <w:rFonts w:hint="eastAsia" w:ascii="仿宋_GB2312" w:hAnsi="仿宋_GB2312" w:eastAsia="仿宋_GB2312" w:cs="仿宋_GB2312"/>
          <w:spacing w:val="-4"/>
          <w:kern w:val="0"/>
          <w:sz w:val="32"/>
          <w:szCs w:val="32"/>
          <w:lang w:val="en-US" w:eastAsia="zh-CN" w:bidi="zh-CN"/>
        </w:rPr>
        <w:t>中国语言文学学科</w:t>
      </w:r>
      <w:r>
        <w:rPr>
          <w:rFonts w:hint="eastAsia" w:ascii="仿宋_GB2312" w:hAnsi="仿宋_GB2312" w:eastAsia="仿宋_GB2312" w:cs="仿宋_GB2312"/>
          <w:spacing w:val="-4"/>
          <w:kern w:val="0"/>
          <w:sz w:val="32"/>
          <w:szCs w:val="32"/>
          <w:lang w:val="zh-CN" w:eastAsia="zh-CN" w:bidi="zh-CN"/>
        </w:rPr>
        <w:t>秉持优势发展、协调发展、特色发展理念，在学科建设中取得了较大成绩，中国语言文学现为江西省一流学科、全国四星级学科。1981年，中国古代文学学科获全国首批硕士学位授予权；2005年，获批中国语言文学一级学科硕士点、文艺学二级学科博士点；2011年，获批中国语言文学一级学科博士点；2012年，获批中国语言文学一级学科博士后科研流动站。现为江西省一流学科（高峰优势学科）、江西省高校中国语言文学学科联盟牵头学科。拥有江西省高校人文社会科学重点研究基地1个（当代形态文艺学研究中心）、江西省哲学社会科学重点研究基地1个（叙事学研究中心）、国家语言文字推广基地1个。其中，叙事学、当代文学理论与批评等特色学科方向在全国学界反响较好。在武汉大学中国科教评价研究院、中国科学评价研究中心发布的《2021-2022中国研究生教育及学科专业评价报告》中，中国语言文学学科由2020年的第35位上升到2021年的第34位（参评学科数量有所增加），百分位段为前20％，继续为四星级学科。本学科积淀深厚，经过长期积累和建设，形成了鲜明的人文主义教育传统，人才辈出，已发展成为江西省高校学科特色较为鲜明、教师教育质量稳步提升的培养中文及相关专业人才的重点</w:t>
      </w:r>
      <w:r>
        <w:rPr>
          <w:rFonts w:hint="eastAsia" w:ascii="仿宋_GB2312" w:hAnsi="仿宋_GB2312" w:eastAsia="仿宋_GB2312" w:cs="仿宋_GB2312"/>
          <w:spacing w:val="-4"/>
          <w:kern w:val="0"/>
          <w:sz w:val="32"/>
          <w:szCs w:val="32"/>
          <w:lang w:val="en-US" w:eastAsia="zh-CN" w:bidi="zh-CN"/>
        </w:rPr>
        <w:t>学科</w:t>
      </w:r>
      <w:r>
        <w:rPr>
          <w:rFonts w:hint="eastAsia" w:ascii="仿宋_GB2312" w:hAnsi="仿宋_GB2312" w:eastAsia="仿宋_GB2312" w:cs="仿宋_GB2312"/>
          <w:spacing w:val="-4"/>
          <w:kern w:val="0"/>
          <w:sz w:val="32"/>
          <w:szCs w:val="32"/>
          <w:lang w:val="zh-CN" w:eastAsia="zh-CN" w:bidi="zh-CN"/>
        </w:rPr>
        <w:t>，在全国同类院校中具有较大影响。</w:t>
      </w:r>
    </w:p>
    <w:p>
      <w:pPr>
        <w:pStyle w:val="6"/>
        <w:keepNext w:val="0"/>
        <w:keepLines w:val="0"/>
        <w:pageBreakBefore w:val="0"/>
        <w:widowControl/>
        <w:shd w:val="clear" w:color="auto" w:fill="FFFFFF"/>
        <w:kinsoku/>
        <w:wordWrap/>
        <w:overflowPunct/>
        <w:topLinePunct w:val="0"/>
        <w:autoSpaceDE/>
        <w:autoSpaceDN/>
        <w:bidi w:val="0"/>
        <w:spacing w:after="48" w:afterAutospacing="0" w:line="240" w:lineRule="auto"/>
        <w:ind w:firstLine="624" w:firstLineChars="200"/>
        <w:jc w:val="both"/>
        <w:rPr>
          <w:rFonts w:hint="eastAsia" w:ascii="仿宋_GB2312" w:hAnsi="仿宋_GB2312" w:eastAsia="仿宋_GB2312" w:cs="仿宋_GB2312"/>
          <w:spacing w:val="-4"/>
          <w:kern w:val="0"/>
          <w:sz w:val="32"/>
          <w:szCs w:val="32"/>
          <w:lang w:val="zh-CN" w:eastAsia="zh-CN" w:bidi="zh-CN"/>
        </w:rPr>
      </w:pPr>
      <w:r>
        <w:rPr>
          <w:rFonts w:hint="eastAsia" w:ascii="仿宋_GB2312" w:hAnsi="仿宋_GB2312" w:eastAsia="仿宋_GB2312" w:cs="仿宋_GB2312"/>
          <w:spacing w:val="-4"/>
          <w:kern w:val="0"/>
          <w:sz w:val="32"/>
          <w:szCs w:val="32"/>
          <w:lang w:val="zh-CN" w:eastAsia="zh-CN" w:bidi="zh-CN"/>
        </w:rPr>
        <w:t>本</w:t>
      </w:r>
      <w:r>
        <w:rPr>
          <w:rFonts w:hint="eastAsia" w:ascii="仿宋_GB2312" w:hAnsi="仿宋_GB2312" w:eastAsia="仿宋_GB2312" w:cs="仿宋_GB2312"/>
          <w:spacing w:val="-4"/>
          <w:kern w:val="0"/>
          <w:sz w:val="32"/>
          <w:szCs w:val="32"/>
          <w:lang w:val="en-US" w:eastAsia="zh-CN" w:bidi="zh-CN"/>
        </w:rPr>
        <w:t>学位点</w:t>
      </w:r>
      <w:r>
        <w:rPr>
          <w:rFonts w:hint="eastAsia" w:ascii="仿宋_GB2312" w:hAnsi="仿宋_GB2312" w:eastAsia="仿宋_GB2312" w:cs="仿宋_GB2312"/>
          <w:spacing w:val="-4"/>
          <w:kern w:val="0"/>
          <w:sz w:val="32"/>
          <w:szCs w:val="32"/>
          <w:lang w:val="zh-CN" w:eastAsia="zh-CN" w:bidi="zh-CN"/>
        </w:rPr>
        <w:t>致力于培养适应中国特色社会主义现代化建设需要，德智体美劳全面发展，具有强烈的社会责任感、坚实的理论基础、宽厚的专业素养、高度的创新精神、独立的科研能力和专业实践能力，能胜任高等院校和科研院所中国语言文学学科工作的高层次创新型人才及既能胜任高等学校中国语言文学学科及中学语文的教学工作又具有较强科研能力的社会中坚力量。现有在读硕士研究生213人，在读博士研究生45人。本学位点2020年招收硕士研究生74人，博士研究生13余人，当年授予硕士学位人数72人、授予博士学位人数7人；2021年招收硕士研究生80人，博士研究生19人，当年授予硕士学位人数73人，授予博士学位人数5人。硕士研究生就业去向为中学教师以及行政、事业单位为主，博士研究生就业去向以高校为主。</w:t>
      </w:r>
    </w:p>
    <w:p>
      <w:pPr>
        <w:pStyle w:val="6"/>
        <w:keepNext w:val="0"/>
        <w:keepLines w:val="0"/>
        <w:pageBreakBefore w:val="0"/>
        <w:widowControl/>
        <w:shd w:val="clear" w:color="auto" w:fill="FFFFFF"/>
        <w:kinsoku/>
        <w:wordWrap/>
        <w:overflowPunct/>
        <w:topLinePunct w:val="0"/>
        <w:autoSpaceDE/>
        <w:autoSpaceDN/>
        <w:bidi w:val="0"/>
        <w:spacing w:after="48" w:afterAutospacing="0" w:line="240" w:lineRule="auto"/>
        <w:ind w:firstLine="624" w:firstLineChars="200"/>
        <w:jc w:val="both"/>
        <w:rPr>
          <w:rFonts w:hint="eastAsia" w:ascii="仿宋_GB2312" w:hAnsi="仿宋_GB2312" w:eastAsia="仿宋_GB2312" w:cs="仿宋_GB2312"/>
          <w:spacing w:val="-1"/>
          <w:kern w:val="0"/>
          <w:sz w:val="32"/>
          <w:szCs w:val="32"/>
          <w:lang w:val="zh-CN" w:eastAsia="zh-CN" w:bidi="zh-CN"/>
        </w:rPr>
      </w:pPr>
      <w:r>
        <w:rPr>
          <w:rFonts w:hint="eastAsia" w:ascii="仿宋_GB2312" w:hAnsi="仿宋_GB2312" w:eastAsia="仿宋_GB2312" w:cs="仿宋_GB2312"/>
          <w:spacing w:val="-4"/>
          <w:kern w:val="0"/>
          <w:sz w:val="32"/>
          <w:szCs w:val="32"/>
          <w:lang w:val="zh-CN" w:eastAsia="zh-CN" w:bidi="zh-CN"/>
        </w:rPr>
        <w:t>本</w:t>
      </w:r>
      <w:r>
        <w:rPr>
          <w:rFonts w:hint="eastAsia" w:ascii="仿宋_GB2312" w:hAnsi="仿宋_GB2312" w:eastAsia="仿宋_GB2312" w:cs="仿宋_GB2312"/>
          <w:spacing w:val="-4"/>
          <w:kern w:val="0"/>
          <w:sz w:val="32"/>
          <w:szCs w:val="32"/>
          <w:lang w:val="en-US" w:eastAsia="zh-CN" w:bidi="zh-CN"/>
        </w:rPr>
        <w:t>学位点</w:t>
      </w:r>
      <w:r>
        <w:rPr>
          <w:rFonts w:hint="eastAsia" w:ascii="仿宋_GB2312" w:hAnsi="仿宋_GB2312" w:eastAsia="仿宋_GB2312" w:cs="仿宋_GB2312"/>
          <w:spacing w:val="-4"/>
          <w:kern w:val="0"/>
          <w:sz w:val="32"/>
          <w:szCs w:val="32"/>
          <w:lang w:val="zh-CN" w:eastAsia="zh-CN" w:bidi="zh-CN"/>
        </w:rPr>
        <w:t>现有博士研究生导师21人，硕士研究生</w:t>
      </w:r>
      <w:r>
        <w:rPr>
          <w:rFonts w:hint="eastAsia" w:ascii="仿宋_GB2312" w:hAnsi="仿宋_GB2312" w:eastAsia="仿宋_GB2312" w:cs="仿宋_GB2312"/>
          <w:spacing w:val="-4"/>
          <w:kern w:val="0"/>
          <w:sz w:val="32"/>
          <w:szCs w:val="32"/>
          <w:lang w:val="en-US" w:eastAsia="zh-CN" w:bidi="zh-CN"/>
        </w:rPr>
        <w:t>导师</w:t>
      </w:r>
      <w:r>
        <w:rPr>
          <w:rFonts w:hint="eastAsia" w:ascii="仿宋_GB2312" w:hAnsi="仿宋_GB2312" w:eastAsia="仿宋_GB2312" w:cs="仿宋_GB2312"/>
          <w:spacing w:val="-4"/>
          <w:kern w:val="0"/>
          <w:sz w:val="32"/>
          <w:szCs w:val="32"/>
          <w:lang w:val="zh-CN" w:eastAsia="zh-CN" w:bidi="zh-CN"/>
        </w:rPr>
        <w:t>48人，博士研究生导师年龄集中在46-59岁阶段，占全部博士生导师人数比63%，博士生导师拥有博士学位人数占比为95%；硕士研究生导师年龄分布在36-59岁间，占全部硕士研究生导师人数比75%，硕士生导师拥有博士学位人数占比为68.7%。</w:t>
      </w:r>
      <w:r>
        <w:rPr>
          <w:rFonts w:hint="eastAsia" w:ascii="仿宋_GB2312" w:hAnsi="仿宋_GB2312" w:eastAsia="仿宋_GB2312" w:cs="仿宋_GB2312"/>
          <w:spacing w:val="-4"/>
          <w:kern w:val="0"/>
          <w:sz w:val="32"/>
          <w:szCs w:val="32"/>
          <w:lang w:val="en-US" w:eastAsia="zh-CN" w:bidi="zh-CN"/>
        </w:rPr>
        <w:t>2021年，</w:t>
      </w:r>
      <w:r>
        <w:rPr>
          <w:rFonts w:hint="eastAsia" w:ascii="仿宋_GB2312" w:hAnsi="仿宋_GB2312" w:eastAsia="仿宋_GB2312" w:cs="仿宋_GB2312"/>
          <w:spacing w:val="-4"/>
          <w:kern w:val="0"/>
          <w:sz w:val="32"/>
          <w:szCs w:val="32"/>
          <w:lang w:val="zh-CN" w:eastAsia="zh-CN" w:bidi="zh-CN"/>
        </w:rPr>
        <w:t>在稳定现有人才队伍的基础上，</w:t>
      </w:r>
      <w:r>
        <w:rPr>
          <w:rFonts w:hint="eastAsia" w:ascii="仿宋_GB2312" w:hAnsi="仿宋_GB2312" w:eastAsia="仿宋_GB2312" w:cs="仿宋_GB2312"/>
          <w:spacing w:val="-4"/>
          <w:kern w:val="0"/>
          <w:sz w:val="32"/>
          <w:szCs w:val="32"/>
          <w:lang w:val="en-US" w:eastAsia="zh-CN" w:bidi="zh-CN"/>
        </w:rPr>
        <w:t>本学位点</w:t>
      </w:r>
      <w:r>
        <w:rPr>
          <w:rFonts w:hint="eastAsia" w:ascii="仿宋_GB2312" w:hAnsi="仿宋_GB2312" w:eastAsia="仿宋_GB2312" w:cs="仿宋_GB2312"/>
          <w:spacing w:val="-4"/>
          <w:kern w:val="0"/>
          <w:sz w:val="32"/>
          <w:szCs w:val="32"/>
          <w:lang w:val="zh-CN" w:eastAsia="zh-CN" w:bidi="zh-CN"/>
        </w:rPr>
        <w:t>引进优秀海归1名、优秀博士1名（均已来校报到），另有1人正在签约过程中。</w:t>
      </w:r>
      <w:r>
        <w:rPr>
          <w:rFonts w:hint="eastAsia" w:ascii="仿宋_GB2312" w:hAnsi="仿宋_GB2312" w:eastAsia="仿宋_GB2312" w:cs="仿宋_GB2312"/>
          <w:spacing w:val="-4"/>
          <w:kern w:val="0"/>
          <w:sz w:val="32"/>
          <w:szCs w:val="32"/>
          <w:lang w:val="en-US" w:eastAsia="zh-CN" w:bidi="zh-CN"/>
        </w:rPr>
        <w:t>李小军教授入选教育部“青年长江学者”；李自雄入选江西省引进培养创新创业高层次人才“千人计划”；李舜臣入选江西省“井冈学者特聘教授”；苏勇、肖明华入选江西省“青年井冈学者”。在职攻读博士学位共4人（其中2人已获博士学位），在外访学1人。科研取得实质性进展，获批国家社会科学基金项目3项、省部级项目11项；</w:t>
      </w:r>
      <w:r>
        <w:rPr>
          <w:rFonts w:hint="eastAsia" w:ascii="仿宋_GB2312" w:hAnsi="仿宋_GB2312" w:eastAsia="仿宋_GB2312" w:cs="仿宋_GB2312"/>
          <w:spacing w:val="-4"/>
          <w:kern w:val="0"/>
          <w:sz w:val="32"/>
          <w:szCs w:val="32"/>
          <w:lang w:val="zh-CN" w:eastAsia="zh-CN" w:bidi="zh-CN"/>
        </w:rPr>
        <w:t>获</w:t>
      </w:r>
      <w:r>
        <w:rPr>
          <w:rFonts w:hint="eastAsia" w:ascii="仿宋_GB2312" w:hAnsi="仿宋_GB2312" w:eastAsia="仿宋_GB2312" w:cs="仿宋_GB2312"/>
          <w:spacing w:val="-4"/>
          <w:kern w:val="0"/>
          <w:sz w:val="32"/>
          <w:szCs w:val="32"/>
          <w:lang w:val="en-US" w:eastAsia="zh-CN" w:bidi="zh-CN"/>
        </w:rPr>
        <w:t>江西省社会科学优秀成果奖9项（一等奖2项）、省级教学成果奖4项；</w:t>
      </w:r>
      <w:r>
        <w:rPr>
          <w:rFonts w:hint="eastAsia" w:ascii="仿宋_GB2312" w:hAnsi="仿宋_GB2312" w:eastAsia="仿宋_GB2312" w:cs="仿宋_GB2312"/>
          <w:spacing w:val="-4"/>
          <w:kern w:val="0"/>
          <w:sz w:val="32"/>
          <w:szCs w:val="32"/>
          <w:lang w:val="zh-CN" w:eastAsia="zh-CN" w:bidi="zh-CN"/>
        </w:rPr>
        <w:t>发表CSSCI及以上来源期刊论文</w:t>
      </w:r>
      <w:r>
        <w:rPr>
          <w:rFonts w:hint="eastAsia" w:ascii="仿宋_GB2312" w:hAnsi="仿宋_GB2312" w:eastAsia="仿宋_GB2312" w:cs="仿宋_GB2312"/>
          <w:spacing w:val="-4"/>
          <w:kern w:val="0"/>
          <w:sz w:val="32"/>
          <w:szCs w:val="32"/>
          <w:lang w:val="en-US" w:eastAsia="zh-CN" w:bidi="zh-CN"/>
        </w:rPr>
        <w:t>59</w:t>
      </w:r>
      <w:r>
        <w:rPr>
          <w:rFonts w:hint="eastAsia" w:ascii="仿宋_GB2312" w:hAnsi="仿宋_GB2312" w:eastAsia="仿宋_GB2312" w:cs="仿宋_GB2312"/>
          <w:spacing w:val="-4"/>
          <w:kern w:val="0"/>
          <w:sz w:val="32"/>
          <w:szCs w:val="32"/>
          <w:lang w:val="zh-CN" w:eastAsia="zh-CN" w:bidi="zh-CN"/>
        </w:rPr>
        <w:t>篇，其中，在国内顶级学术期刊《中国社会科学》发表学术论文1篇，权威期刊论文</w:t>
      </w:r>
      <w:r>
        <w:rPr>
          <w:rFonts w:hint="eastAsia" w:ascii="仿宋_GB2312" w:hAnsi="仿宋_GB2312" w:eastAsia="仿宋_GB2312" w:cs="仿宋_GB2312"/>
          <w:spacing w:val="-4"/>
          <w:kern w:val="0"/>
          <w:sz w:val="32"/>
          <w:szCs w:val="32"/>
          <w:lang w:val="en-US" w:eastAsia="zh-CN" w:bidi="zh-CN"/>
        </w:rPr>
        <w:t>4</w:t>
      </w:r>
      <w:r>
        <w:rPr>
          <w:rFonts w:hint="eastAsia" w:ascii="仿宋_GB2312" w:hAnsi="仿宋_GB2312" w:eastAsia="仿宋_GB2312" w:cs="仿宋_GB2312"/>
          <w:spacing w:val="-4"/>
          <w:kern w:val="0"/>
          <w:sz w:val="32"/>
          <w:szCs w:val="32"/>
          <w:lang w:val="zh-CN" w:eastAsia="zh-CN" w:bidi="zh-CN"/>
        </w:rPr>
        <w:t>篇，A类期刊论文</w:t>
      </w:r>
      <w:r>
        <w:rPr>
          <w:rFonts w:hint="eastAsia" w:ascii="仿宋_GB2312" w:hAnsi="仿宋_GB2312" w:eastAsia="仿宋_GB2312" w:cs="仿宋_GB2312"/>
          <w:spacing w:val="-4"/>
          <w:kern w:val="0"/>
          <w:sz w:val="32"/>
          <w:szCs w:val="32"/>
          <w:lang w:val="en-US" w:eastAsia="zh-CN" w:bidi="zh-CN"/>
        </w:rPr>
        <w:t>22</w:t>
      </w:r>
      <w:r>
        <w:rPr>
          <w:rFonts w:hint="eastAsia" w:ascii="仿宋_GB2312" w:hAnsi="仿宋_GB2312" w:eastAsia="仿宋_GB2312" w:cs="仿宋_GB2312"/>
          <w:spacing w:val="-4"/>
          <w:kern w:val="0"/>
          <w:sz w:val="32"/>
          <w:szCs w:val="32"/>
          <w:lang w:val="zh-CN" w:eastAsia="zh-CN" w:bidi="zh-CN"/>
        </w:rPr>
        <w:t>篇；出版各类著作</w:t>
      </w:r>
      <w:r>
        <w:rPr>
          <w:rFonts w:hint="eastAsia" w:ascii="仿宋_GB2312" w:hAnsi="仿宋_GB2312" w:eastAsia="仿宋_GB2312" w:cs="仿宋_GB2312"/>
          <w:spacing w:val="-4"/>
          <w:kern w:val="0"/>
          <w:sz w:val="32"/>
          <w:szCs w:val="32"/>
          <w:lang w:val="en-US" w:eastAsia="zh-CN" w:bidi="zh-CN"/>
        </w:rPr>
        <w:t>8</w:t>
      </w:r>
      <w:r>
        <w:rPr>
          <w:rFonts w:hint="eastAsia" w:ascii="仿宋_GB2312" w:hAnsi="仿宋_GB2312" w:eastAsia="仿宋_GB2312" w:cs="仿宋_GB2312"/>
          <w:spacing w:val="-4"/>
          <w:kern w:val="0"/>
          <w:sz w:val="32"/>
          <w:szCs w:val="32"/>
          <w:lang w:val="zh-CN" w:eastAsia="zh-CN" w:bidi="zh-CN"/>
        </w:rPr>
        <w:t>部，</w:t>
      </w:r>
      <w:r>
        <w:rPr>
          <w:rFonts w:hint="eastAsia" w:ascii="仿宋_GB2312" w:hAnsi="仿宋_GB2312" w:eastAsia="仿宋_GB2312" w:cs="仿宋_GB2312"/>
          <w:spacing w:val="-4"/>
          <w:kern w:val="0"/>
          <w:sz w:val="32"/>
          <w:szCs w:val="32"/>
          <w:lang w:val="en-US" w:eastAsia="zh-CN" w:bidi="zh-CN"/>
        </w:rPr>
        <w:t>其中译著2部。</w:t>
      </w:r>
    </w:p>
    <w:p>
      <w:pPr>
        <w:widowControl/>
        <w:spacing w:line="560" w:lineRule="exact"/>
        <w:ind w:firstLine="640" w:firstLineChars="200"/>
        <w:textAlignment w:val="baseline"/>
        <w:rPr>
          <w:rStyle w:val="11"/>
          <w:rFonts w:ascii="黑体" w:hAnsi="黑体" w:eastAsia="黑体"/>
          <w:szCs w:val="32"/>
        </w:rPr>
      </w:pPr>
      <w:r>
        <w:rPr>
          <w:rStyle w:val="11"/>
          <w:rFonts w:hint="eastAsia" w:ascii="黑体" w:hAnsi="黑体" w:eastAsia="黑体"/>
          <w:szCs w:val="32"/>
        </w:rPr>
        <w:t>二、研究生党建与思想政治教育工作</w:t>
      </w:r>
    </w:p>
    <w:p>
      <w:pPr>
        <w:widowControl/>
        <w:ind w:firstLine="624" w:firstLineChars="200"/>
        <w:textAlignment w:val="baseline"/>
        <w:rPr>
          <w:rFonts w:hint="eastAsia" w:ascii="仿宋_GB2312" w:hAnsi="仿宋_GB2312" w:eastAsia="仿宋_GB2312" w:cs="仿宋_GB2312"/>
          <w:spacing w:val="-4"/>
          <w:kern w:val="0"/>
          <w:sz w:val="32"/>
          <w:szCs w:val="32"/>
          <w:lang w:val="en-US" w:eastAsia="zh-CN" w:bidi="zh-CN"/>
        </w:rPr>
      </w:pPr>
      <w:r>
        <w:rPr>
          <w:rFonts w:hint="eastAsia" w:ascii="仿宋_GB2312" w:hAnsi="仿宋_GB2312" w:eastAsia="仿宋_GB2312" w:cs="仿宋_GB2312"/>
          <w:spacing w:val="-4"/>
          <w:kern w:val="0"/>
          <w:sz w:val="32"/>
          <w:szCs w:val="32"/>
          <w:lang w:val="en-US" w:eastAsia="zh-CN" w:bidi="zh-CN"/>
        </w:rPr>
        <w:t>本学位点坚持以习近平新时代中国特色社会主义思想为指导，认真学习贯彻全国教育大会精神和全国高校思想政治工作会议精神，紧扣立德树人根本任务，大力推进“三全育人”综合改革，着力提升研究生党建与思想政治教育工作质量，努力培养德智体美劳全面发展的社会主义建设者和接班人。</w:t>
      </w:r>
    </w:p>
    <w:p>
      <w:pPr>
        <w:widowControl/>
        <w:ind w:firstLine="627" w:firstLineChars="200"/>
        <w:textAlignment w:val="baseline"/>
        <w:rPr>
          <w:rFonts w:hint="eastAsia" w:ascii="仿宋_GB2312" w:hAnsi="仿宋_GB2312" w:eastAsia="仿宋_GB2312" w:cs="仿宋_GB2312"/>
          <w:spacing w:val="-4"/>
          <w:kern w:val="0"/>
          <w:sz w:val="32"/>
          <w:szCs w:val="32"/>
          <w:lang w:val="en-US" w:eastAsia="zh-CN" w:bidi="zh-CN"/>
        </w:rPr>
      </w:pPr>
      <w:r>
        <w:rPr>
          <w:rFonts w:hint="eastAsia" w:ascii="仿宋_GB2312" w:hAnsi="仿宋_GB2312" w:eastAsia="仿宋_GB2312" w:cs="仿宋_GB2312"/>
          <w:b/>
          <w:bCs/>
          <w:spacing w:val="-4"/>
          <w:kern w:val="0"/>
          <w:sz w:val="32"/>
          <w:szCs w:val="32"/>
          <w:lang w:val="en-US" w:eastAsia="zh-CN" w:bidi="zh-CN"/>
        </w:rPr>
        <w:t>立足当下，以知促行，增强“三全育人”行动自觉。</w:t>
      </w:r>
      <w:r>
        <w:rPr>
          <w:rFonts w:hint="eastAsia" w:ascii="仿宋_GB2312" w:hAnsi="仿宋_GB2312" w:eastAsia="仿宋_GB2312" w:cs="仿宋_GB2312"/>
          <w:spacing w:val="-4"/>
          <w:kern w:val="0"/>
          <w:sz w:val="32"/>
          <w:szCs w:val="32"/>
          <w:lang w:val="en-US" w:eastAsia="zh-CN" w:bidi="zh-CN"/>
        </w:rPr>
        <w:t>本学位点高度重视思想政治教育工作，成立了“三全育人”综合改革工作领导小组，建立健全学院党委统一领导、各教研组织分工负责的工作体制，遵循“三全育人”导向，研究制定了《江西师范大学文学院课程思政工作方案》，抓住学生、教师、课程三大核心要素，全面构建“333”育人工程，通过教育培训，课程思政大讨论、教学示范，邀请学生家长、专家、校友来院讲学，专任教师与专职辅导员定期召开沙龙等形式，让学院教职工深化落实立德树人根本任务的政治共识、抓牢思想政治工作生命红线的思想共识，让学生坚定争做“爱国、励志、求真、力行”的时代新人的共识，确保“三全育人”综合改革协同发展。本学位点设有研究生第一党支部、研究生第二党支部，由研究生辅导员担任支部书记，定期开展研究生思想政治教育工作。2020至2021年期间，先后组织开展了观看红色影片《长津湖》、赴红色文化教育馆参观、观看“江西师范大学·百年党史江西红”、观看抗美援朝老战士舒信树开展党史学习教育专题宣讲等系列红色教育活动。此外，本学位点</w:t>
      </w:r>
      <w:r>
        <w:rPr>
          <w:rFonts w:hint="eastAsia" w:ascii="仿宋_GB2312" w:hAnsi="仿宋_GB2312" w:eastAsia="仿宋_GB2312" w:cs="仿宋_GB2312"/>
          <w:spacing w:val="-4"/>
          <w:kern w:val="0"/>
          <w:sz w:val="32"/>
          <w:szCs w:val="32"/>
          <w:lang w:val="zh-CN" w:eastAsia="zh-CN" w:bidi="zh-CN"/>
        </w:rPr>
        <w:t>组建教工政治理论学习小组，定期给研究生开展理论宣讲活动，弘扬学生社会主义核心价值观，让学生树立为社会主义建设奉献终身的观念。</w:t>
      </w:r>
    </w:p>
    <w:p>
      <w:pPr>
        <w:ind w:firstLine="627" w:firstLineChars="200"/>
        <w:rPr>
          <w:rFonts w:hint="eastAsia" w:ascii="仿宋_GB2312" w:hAnsi="仿宋_GB2312" w:eastAsia="仿宋_GB2312" w:cs="仿宋_GB2312"/>
          <w:spacing w:val="-4"/>
          <w:kern w:val="0"/>
          <w:sz w:val="32"/>
          <w:szCs w:val="32"/>
          <w:lang w:val="en-US" w:eastAsia="zh-CN" w:bidi="zh-CN"/>
        </w:rPr>
      </w:pPr>
      <w:r>
        <w:rPr>
          <w:rFonts w:hint="eastAsia" w:ascii="仿宋_GB2312" w:hAnsi="仿宋_GB2312" w:eastAsia="仿宋_GB2312" w:cs="仿宋_GB2312"/>
          <w:b/>
          <w:bCs/>
          <w:spacing w:val="-4"/>
          <w:kern w:val="0"/>
          <w:sz w:val="32"/>
          <w:szCs w:val="32"/>
          <w:lang w:val="en-US" w:eastAsia="zh-CN" w:bidi="zh-CN"/>
        </w:rPr>
        <w:t>承袭传统，以行践知，挖掘“三全育人”地方特色。</w:t>
      </w:r>
      <w:r>
        <w:rPr>
          <w:rFonts w:hint="eastAsia" w:ascii="仿宋_GB2312" w:hAnsi="仿宋_GB2312" w:eastAsia="仿宋_GB2312" w:cs="仿宋_GB2312"/>
          <w:spacing w:val="-4"/>
          <w:kern w:val="0"/>
          <w:sz w:val="32"/>
          <w:szCs w:val="32"/>
          <w:lang w:val="en-US" w:eastAsia="zh-CN" w:bidi="zh-CN"/>
        </w:rPr>
        <w:t>本学位点坚守优良的教育教学传统，立足省情，结合校情，深入挖掘专业课程中的思政元素，扎实推进课程思政建设。2021年，完成师生课程思政文集整理工作，目前正待印刷出版；入选校级课程思政教学案例文章9篇；获批校级第三批课程思政示范项目4项，获推省级参评1项；获批省级教学改革研究一般项目1项、校级教学改革研究一般项目2项；获批省级基础教育研究课题2项；出版或参编教材4部；发表教研论文8篇；获批江西师范大学通识教育核心课4门；获批省级“三类”一流课程3门、省级高校课程育人共享计划课程3门；获批校级研究生优质课程建设项目2项。充分发挥教研室、教学团队、党团支部等基层组织力量，营造“三全育人”的良好氛围，增强潜移默化感染力，增强价值引领吸引力，将育人工作贯穿到学生从入学到毕业、从课堂到课外的各个阶段，确保“三全育人”综合改革落地见效。</w:t>
      </w:r>
    </w:p>
    <w:p>
      <w:pPr>
        <w:widowControl/>
        <w:ind w:firstLine="627" w:firstLineChars="200"/>
        <w:textAlignment w:val="baseline"/>
        <w:rPr>
          <w:rFonts w:hint="eastAsia" w:ascii="仿宋_GB2312" w:hAnsi="仿宋_GB2312" w:eastAsia="仿宋_GB2312" w:cs="仿宋_GB2312"/>
          <w:spacing w:val="-4"/>
          <w:kern w:val="0"/>
          <w:sz w:val="32"/>
          <w:szCs w:val="32"/>
          <w:lang w:val="en-US" w:eastAsia="zh-CN" w:bidi="zh-CN"/>
        </w:rPr>
      </w:pPr>
      <w:r>
        <w:rPr>
          <w:rFonts w:hint="eastAsia" w:ascii="仿宋_GB2312" w:hAnsi="仿宋_GB2312" w:eastAsia="仿宋_GB2312" w:cs="仿宋_GB2312"/>
          <w:b/>
          <w:bCs/>
          <w:spacing w:val="-4"/>
          <w:kern w:val="0"/>
          <w:sz w:val="32"/>
          <w:szCs w:val="32"/>
          <w:lang w:val="en-US" w:eastAsia="zh-CN" w:bidi="zh-CN"/>
        </w:rPr>
        <w:t>瞄准未来，知行合一，助力“三全育人”动态发展。</w:t>
      </w:r>
      <w:r>
        <w:rPr>
          <w:rFonts w:hint="eastAsia" w:ascii="仿宋_GB2312" w:hAnsi="仿宋_GB2312" w:eastAsia="仿宋_GB2312" w:cs="仿宋_GB2312"/>
          <w:spacing w:val="-4"/>
          <w:kern w:val="0"/>
          <w:sz w:val="32"/>
          <w:szCs w:val="32"/>
          <w:lang w:val="en-US" w:eastAsia="zh-CN" w:bidi="zh-CN"/>
        </w:rPr>
        <w:t>本学位点积极适应互联网和后疫情时代新要求，创新打造基于“阵地、文化、管理”三位一体的网络思政工作格局，保障和优化研究生日常管理，将研究生日常管理与研究生思政教育有效结合起来，大力加强教师队伍建设，按照专兼结合、以专为主的原则，足额配备专职辅导员，致力打造高素质专业化创新型的“四有”好老师队伍，积极鼓励学生参加国际国内各项赛事，力争荣获重大德育荣誉称号。2021年，获第十七届“挑战杯”江西省大学生课外学术科技作品竞赛特等奖1项、二等奖1项、红色专项特等奖1项；获第五届“中学西渐杯”全国汉语国际教育综合技能大赛二等奖2项；获第三届中华经典诵写讲大赛“诗教中国”诗词讲解大赛一等奖2人、二等奖2人。此外，2020级本科生李小龙荣获2021年度“全国百佳”心理委员荣誉称号。</w:t>
      </w:r>
    </w:p>
    <w:p>
      <w:pPr>
        <w:widowControl/>
        <w:numPr>
          <w:ilvl w:val="0"/>
          <w:numId w:val="1"/>
        </w:numPr>
        <w:spacing w:line="560" w:lineRule="exact"/>
        <w:ind w:left="410" w:leftChars="0" w:firstLine="640" w:firstLineChars="0"/>
        <w:textAlignment w:val="baseline"/>
        <w:rPr>
          <w:rStyle w:val="11"/>
          <w:rFonts w:hint="eastAsia" w:ascii="黑体" w:hAnsi="黑体" w:eastAsia="黑体"/>
          <w:szCs w:val="32"/>
        </w:rPr>
      </w:pPr>
      <w:r>
        <w:rPr>
          <w:rStyle w:val="11"/>
          <w:rFonts w:hint="eastAsia" w:ascii="黑体" w:hAnsi="黑体" w:eastAsia="黑体"/>
          <w:szCs w:val="32"/>
        </w:rPr>
        <w:t>学位点建设相关制度及执行情况</w:t>
      </w:r>
    </w:p>
    <w:p>
      <w:pPr>
        <w:pStyle w:val="3"/>
        <w:spacing w:before="29" w:line="364" w:lineRule="auto"/>
        <w:ind w:left="0" w:leftChars="0" w:right="438" w:firstLine="627" w:firstLineChars="200"/>
        <w:jc w:val="both"/>
      </w:pPr>
      <w:r>
        <w:rPr>
          <w:rFonts w:hint="eastAsia" w:ascii="仿宋_GB2312" w:hAnsi="仿宋_GB2312" w:eastAsia="仿宋_GB2312" w:cs="仿宋_GB2312"/>
          <w:b/>
          <w:bCs/>
          <w:spacing w:val="-4"/>
          <w:kern w:val="0"/>
          <w:sz w:val="32"/>
          <w:szCs w:val="32"/>
          <w:lang w:val="en-US" w:eastAsia="zh-CN" w:bidi="zh-CN"/>
        </w:rPr>
        <w:t>大力推动课程建设，完善学科课程体系，以课程为载体，全方位推动教育教学改革，提高人才培养质量。</w:t>
      </w:r>
      <w:r>
        <w:rPr>
          <w:rFonts w:hint="eastAsia" w:ascii="仿宋_GB2312" w:hAnsi="仿宋_GB2312" w:eastAsia="仿宋_GB2312" w:cs="仿宋_GB2312"/>
          <w:spacing w:val="-4"/>
          <w:kern w:val="0"/>
          <w:sz w:val="32"/>
          <w:szCs w:val="32"/>
          <w:lang w:val="en-US" w:eastAsia="zh-CN" w:bidi="zh-CN"/>
        </w:rPr>
        <w:t>深入贯彻落实全国全省全校研究生教育会议精神，加强研究生课程建设，提高研究生培养质量，</w:t>
      </w:r>
      <w:r>
        <w:rPr>
          <w:spacing w:val="-2"/>
        </w:rPr>
        <w:t>根据国务院学位委员会办公室组织公开出版的《学术学</w:t>
      </w:r>
      <w:r>
        <w:rPr>
          <w:spacing w:val="-1"/>
        </w:rPr>
        <w:t>位研究生核心课程指南</w:t>
      </w:r>
      <w:r>
        <w:t>（试行</w:t>
      </w:r>
      <w:r>
        <w:rPr>
          <w:spacing w:val="-5"/>
        </w:rPr>
        <w:t>）</w:t>
      </w:r>
      <w:r>
        <w:rPr>
          <w:spacing w:val="-3"/>
        </w:rPr>
        <w:t>》和《专业学位研究生核心</w:t>
      </w:r>
      <w:r>
        <w:t>课程指南（试行）</w:t>
      </w:r>
      <w:r>
        <w:rPr>
          <w:spacing w:val="-3"/>
        </w:rPr>
        <w:t>》</w:t>
      </w:r>
      <w:r>
        <w:t>（以下均简称《指南》</w:t>
      </w:r>
      <w:r>
        <w:rPr>
          <w:spacing w:val="-3"/>
        </w:rPr>
        <w:t>）</w:t>
      </w:r>
      <w:r>
        <w:rPr>
          <w:spacing w:val="-4"/>
        </w:rPr>
        <w:t>和《江西师范</w:t>
      </w:r>
      <w:r>
        <w:rPr>
          <w:spacing w:val="-2"/>
        </w:rPr>
        <w:t>大学关于推进新时代研究生教育改革发展的实施意见》等文</w:t>
      </w:r>
      <w:r>
        <w:rPr>
          <w:spacing w:val="-4"/>
        </w:rPr>
        <w:t>件精神，</w:t>
      </w:r>
      <w:r>
        <w:rPr>
          <w:rFonts w:hint="eastAsia" w:cs="仿宋_GB2312"/>
          <w:spacing w:val="-4"/>
          <w:kern w:val="0"/>
          <w:sz w:val="32"/>
          <w:szCs w:val="32"/>
          <w:lang w:val="en-US" w:eastAsia="zh-CN" w:bidi="zh-CN"/>
        </w:rPr>
        <w:t>将研究生</w:t>
      </w:r>
      <w:r>
        <w:rPr>
          <w:rFonts w:hint="eastAsia" w:ascii="仿宋_GB2312" w:hAnsi="仿宋_GB2312" w:eastAsia="仿宋_GB2312" w:cs="仿宋_GB2312"/>
          <w:spacing w:val="-4"/>
          <w:kern w:val="0"/>
          <w:sz w:val="32"/>
          <w:szCs w:val="32"/>
          <w:lang w:val="zh-CN" w:eastAsia="zh-CN" w:bidi="zh-CN"/>
        </w:rPr>
        <w:t>课程类别分为必修课程、选修课程和补修课程，除了课内教学实践外，还包括文献阅读、学术活动、社会实践三方面内容</w:t>
      </w:r>
      <w:r>
        <w:rPr>
          <w:rFonts w:hint="eastAsia" w:cs="仿宋_GB2312"/>
          <w:spacing w:val="-4"/>
          <w:kern w:val="0"/>
          <w:sz w:val="32"/>
          <w:szCs w:val="32"/>
          <w:lang w:val="zh-CN" w:eastAsia="zh-CN" w:bidi="zh-CN"/>
        </w:rPr>
        <w:t>，</w:t>
      </w:r>
      <w:r>
        <w:rPr>
          <w:rFonts w:hint="eastAsia" w:cs="仿宋_GB2312"/>
          <w:spacing w:val="-4"/>
          <w:kern w:val="0"/>
          <w:sz w:val="32"/>
          <w:szCs w:val="32"/>
          <w:lang w:val="en-US" w:eastAsia="zh-CN" w:bidi="zh-CN"/>
        </w:rPr>
        <w:t>并对</w:t>
      </w:r>
      <w:r>
        <w:rPr>
          <w:spacing w:val="-4"/>
        </w:rPr>
        <w:t>学术型博、硕士研究生的培</w:t>
      </w:r>
      <w:r>
        <w:rPr>
          <w:spacing w:val="-3"/>
        </w:rPr>
        <w:t>养方案进行了修订和优化，并结合学科的最新发展，完善相</w:t>
      </w:r>
      <w:r>
        <w:t>关专业课程的教学大纲。</w:t>
      </w:r>
    </w:p>
    <w:p>
      <w:pPr>
        <w:pStyle w:val="3"/>
        <w:spacing w:before="29" w:line="364" w:lineRule="auto"/>
        <w:ind w:left="0" w:leftChars="0" w:right="438" w:firstLine="631" w:firstLineChars="200"/>
        <w:jc w:val="both"/>
        <w:rPr>
          <w:rFonts w:hint="eastAsia"/>
          <w:spacing w:val="-4"/>
        </w:rPr>
      </w:pPr>
      <w:r>
        <w:rPr>
          <w:rFonts w:hint="eastAsia"/>
          <w:b/>
          <w:spacing w:val="-3"/>
          <w:lang w:val="en-US" w:eastAsia="zh-CN"/>
        </w:rPr>
        <w:t>严格</w:t>
      </w:r>
      <w:r>
        <w:rPr>
          <w:b/>
          <w:spacing w:val="-3"/>
        </w:rPr>
        <w:t>规范</w:t>
      </w:r>
      <w:r>
        <w:rPr>
          <w:rFonts w:hint="eastAsia"/>
          <w:b/>
          <w:spacing w:val="-3"/>
          <w:lang w:val="en-US" w:eastAsia="zh-CN"/>
        </w:rPr>
        <w:t>研究生</w:t>
      </w:r>
      <w:r>
        <w:rPr>
          <w:b/>
          <w:spacing w:val="-3"/>
        </w:rPr>
        <w:t>导师的</w:t>
      </w:r>
      <w:r>
        <w:rPr>
          <w:rFonts w:hint="eastAsia"/>
          <w:b/>
          <w:spacing w:val="-3"/>
          <w:lang w:val="en-US" w:eastAsia="zh-CN"/>
        </w:rPr>
        <w:t>遴选与</w:t>
      </w:r>
      <w:r>
        <w:rPr>
          <w:b/>
          <w:spacing w:val="-3"/>
        </w:rPr>
        <w:t>培训制度</w:t>
      </w:r>
      <w:r>
        <w:rPr>
          <w:rFonts w:hint="eastAsia"/>
          <w:b/>
          <w:spacing w:val="-3"/>
          <w:lang w:eastAsia="zh-CN"/>
        </w:rPr>
        <w:t>，</w:t>
      </w:r>
      <w:r>
        <w:rPr>
          <w:rFonts w:hint="eastAsia"/>
          <w:b/>
          <w:spacing w:val="-3"/>
          <w:lang w:val="en-US" w:eastAsia="zh-CN"/>
        </w:rPr>
        <w:t>强化导师业务能力培养</w:t>
      </w:r>
      <w:r>
        <w:rPr>
          <w:b/>
          <w:spacing w:val="-3"/>
        </w:rPr>
        <w:t>。</w:t>
      </w:r>
      <w:r>
        <w:rPr>
          <w:rFonts w:hint="eastAsia"/>
          <w:spacing w:val="-4"/>
        </w:rPr>
        <w:t>为加强本学位点研究生导师队伍建设，全面落实研究生导师立德树人职责，进一步提升广大导师教书育人能力和研究生指导能力，促进研究生教育高质量发展，本学位点严格执行《江西师范大学硕士研究生指导教师遴选与管理实施办法》《江西师范大学博士生导师遴选与管理实施办法（修订）》的要求，扎实推进导师培训相关工作，定期对研究生导师的学术能力、思想政治情况进行考核</w:t>
      </w:r>
      <w:r>
        <w:rPr>
          <w:rFonts w:hint="eastAsia"/>
          <w:spacing w:val="-4"/>
          <w:lang w:eastAsia="zh-CN"/>
        </w:rPr>
        <w:t>。</w:t>
      </w:r>
      <w:r>
        <w:rPr>
          <w:rFonts w:hint="eastAsia"/>
          <w:spacing w:val="-4"/>
        </w:rPr>
        <w:t>严格对标国务院学位办、省学位办对于研究生指导教师能力提升的相关要求，多方面、多路径推进导师能力提升工程。一是加强国家政策、文件的学习，聚焦全面落实导师立德树人职责和专业发展提升，强化导师的育人情怀和责任意识。二是做好师资队伍梯队化管理，推进以老带新的传帮带建设，在实践中进一步落实研究生导师质量保障主体责任。三是通过制定分类遴选标准严把遴选关口、注重岗前培训、完善考核和奖惩激励机制等举措，不断提升研究生导师整体本学位点从完善师德师风教育机制、构建师德师风宣传机制、</w:t>
      </w:r>
    </w:p>
    <w:p>
      <w:pPr>
        <w:pStyle w:val="3"/>
        <w:spacing w:before="29" w:line="364" w:lineRule="auto"/>
        <w:ind w:left="0" w:leftChars="0" w:right="438" w:firstLine="627" w:firstLineChars="200"/>
        <w:jc w:val="both"/>
        <w:rPr>
          <w:rFonts w:hint="eastAsia"/>
          <w:spacing w:val="-4"/>
        </w:rPr>
      </w:pPr>
      <w:r>
        <w:rPr>
          <w:rFonts w:hint="eastAsia"/>
          <w:b/>
          <w:bCs/>
          <w:spacing w:val="-4"/>
        </w:rPr>
        <w:t>强化师德师风监督机制</w:t>
      </w:r>
      <w:r>
        <w:rPr>
          <w:rFonts w:hint="eastAsia"/>
          <w:b/>
          <w:bCs/>
          <w:spacing w:val="-4"/>
          <w:lang w:eastAsia="zh-CN"/>
        </w:rPr>
        <w:t>，</w:t>
      </w:r>
      <w:r>
        <w:rPr>
          <w:rFonts w:hint="eastAsia"/>
          <w:b/>
          <w:bCs/>
          <w:spacing w:val="-4"/>
        </w:rPr>
        <w:t>落实师德师风责任机制</w:t>
      </w:r>
      <w:r>
        <w:rPr>
          <w:rFonts w:hint="eastAsia"/>
          <w:b/>
          <w:bCs/>
          <w:spacing w:val="-4"/>
          <w:lang w:eastAsia="zh-CN"/>
        </w:rPr>
        <w:t>，</w:t>
      </w:r>
      <w:r>
        <w:rPr>
          <w:rFonts w:hint="eastAsia"/>
          <w:b/>
          <w:bCs/>
          <w:spacing w:val="-4"/>
        </w:rPr>
        <w:t>规范师德师风考核机制</w:t>
      </w:r>
      <w:r>
        <w:rPr>
          <w:rFonts w:hint="eastAsia"/>
          <w:b/>
          <w:bCs/>
          <w:spacing w:val="-4"/>
          <w:lang w:eastAsia="zh-CN"/>
        </w:rPr>
        <w:t>。</w:t>
      </w:r>
      <w:r>
        <w:rPr>
          <w:rFonts w:hint="eastAsia"/>
          <w:b w:val="0"/>
          <w:bCs w:val="0"/>
          <w:spacing w:val="-4"/>
          <w:lang w:val="en-US" w:eastAsia="zh-CN"/>
        </w:rPr>
        <w:t>本学位点</w:t>
      </w:r>
      <w:r>
        <w:rPr>
          <w:rFonts w:hint="eastAsia"/>
          <w:spacing w:val="-4"/>
        </w:rPr>
        <w:t>全面贯彻落实相关文件精神，结合学科特点持续开展系列工作。出台《江西师范大学文学院新闻宣传工作条例》，实施《江西师范大学文学院师德培训方案》；以学科国家教学名师为标杆，引导全体教师树立远大职业理想；充分发挥广大师生在民主监督、社会舆论中的作用，采取个人自评、学生测评、单位考评等多种形式进行师德师风考核工作。现有国家教学名师</w:t>
      </w:r>
      <w:r>
        <w:rPr>
          <w:rFonts w:hint="eastAsia"/>
          <w:spacing w:val="-4"/>
          <w:lang w:val="en-US" w:eastAsia="zh-CN"/>
        </w:rPr>
        <w:t>1</w:t>
      </w:r>
      <w:r>
        <w:rPr>
          <w:rFonts w:hint="eastAsia"/>
          <w:spacing w:val="-4"/>
        </w:rPr>
        <w:t>人、教育部基础教育语文教学指导专业委员会委员</w:t>
      </w:r>
      <w:r>
        <w:rPr>
          <w:rFonts w:hint="eastAsia"/>
          <w:spacing w:val="-4"/>
          <w:lang w:val="en-US" w:eastAsia="zh-CN"/>
        </w:rPr>
        <w:t>1</w:t>
      </w:r>
      <w:r>
        <w:rPr>
          <w:rFonts w:hint="eastAsia"/>
          <w:spacing w:val="-4"/>
        </w:rPr>
        <w:t>人，获评中宣部宣传思想文化青年英才、江西省模范教师、江西省五一巾帼标兵</w:t>
      </w:r>
      <w:r>
        <w:rPr>
          <w:rFonts w:hint="eastAsia"/>
          <w:spacing w:val="-4"/>
          <w:lang w:val="en-US" w:eastAsia="zh-CN"/>
        </w:rPr>
        <w:t>3</w:t>
      </w:r>
      <w:r>
        <w:rPr>
          <w:rFonts w:hint="eastAsia"/>
          <w:spacing w:val="-4"/>
        </w:rPr>
        <w:t>人次及江西师范大学卓越教学奖获得者</w:t>
      </w:r>
      <w:r>
        <w:rPr>
          <w:rFonts w:hint="eastAsia"/>
          <w:spacing w:val="-4"/>
          <w:lang w:val="en-US" w:eastAsia="zh-CN"/>
        </w:rPr>
        <w:t>1</w:t>
      </w:r>
      <w:r>
        <w:rPr>
          <w:rFonts w:hint="eastAsia"/>
          <w:spacing w:val="-4"/>
        </w:rPr>
        <w:t>人、“十佳百优”教师</w:t>
      </w:r>
      <w:r>
        <w:rPr>
          <w:rFonts w:hint="eastAsia"/>
          <w:spacing w:val="-4"/>
          <w:lang w:val="en-US" w:eastAsia="zh-CN"/>
        </w:rPr>
        <w:t>5</w:t>
      </w:r>
      <w:r>
        <w:rPr>
          <w:rFonts w:hint="eastAsia"/>
          <w:spacing w:val="-4"/>
        </w:rPr>
        <w:t>人，获校辅导员职业能力大赛团体奖</w:t>
      </w:r>
      <w:r>
        <w:rPr>
          <w:rFonts w:hint="eastAsia"/>
          <w:spacing w:val="-4"/>
          <w:lang w:val="en-US" w:eastAsia="zh-CN"/>
        </w:rPr>
        <w:t>3</w:t>
      </w:r>
      <w:r>
        <w:rPr>
          <w:rFonts w:hint="eastAsia"/>
          <w:spacing w:val="-4"/>
        </w:rPr>
        <w:t>项、巾帼建功先进集体称号</w:t>
      </w:r>
      <w:r>
        <w:rPr>
          <w:rFonts w:hint="eastAsia"/>
          <w:spacing w:val="-4"/>
          <w:lang w:val="en-US" w:eastAsia="zh-CN"/>
        </w:rPr>
        <w:t>1</w:t>
      </w:r>
      <w:r>
        <w:rPr>
          <w:rFonts w:hint="eastAsia"/>
          <w:spacing w:val="-4"/>
        </w:rPr>
        <w:t>次。</w:t>
      </w:r>
    </w:p>
    <w:p>
      <w:pPr>
        <w:pStyle w:val="3"/>
        <w:spacing w:before="29" w:line="364" w:lineRule="auto"/>
        <w:ind w:left="0" w:leftChars="0" w:right="438" w:firstLine="627" w:firstLineChars="200"/>
        <w:jc w:val="both"/>
        <w:rPr>
          <w:rFonts w:hint="eastAsia" w:ascii="仿宋_GB2312" w:hAnsi="仿宋_GB2312" w:eastAsia="仿宋_GB2312" w:cs="仿宋_GB2312"/>
          <w:spacing w:val="-4"/>
          <w:kern w:val="0"/>
          <w:sz w:val="32"/>
          <w:szCs w:val="32"/>
          <w:lang w:val="zh-CN" w:eastAsia="zh-CN" w:bidi="zh-CN"/>
        </w:rPr>
      </w:pPr>
      <w:r>
        <w:rPr>
          <w:rFonts w:hint="eastAsia" w:ascii="仿宋_GB2312" w:hAnsi="仿宋_GB2312" w:eastAsia="仿宋_GB2312" w:cs="仿宋_GB2312"/>
          <w:b/>
          <w:bCs/>
          <w:spacing w:val="-4"/>
          <w:kern w:val="2"/>
          <w:sz w:val="32"/>
          <w:szCs w:val="32"/>
          <w:lang w:val="en-US" w:eastAsia="zh-CN" w:bidi="zh-CN"/>
        </w:rPr>
        <w:t>采取切实、有效措施保障和提高学生的学术生产力与贡献率</w:t>
      </w:r>
      <w:r>
        <w:rPr>
          <w:rFonts w:hint="eastAsia" w:cs="仿宋_GB2312"/>
          <w:b/>
          <w:bCs/>
          <w:spacing w:val="-4"/>
          <w:kern w:val="2"/>
          <w:sz w:val="32"/>
          <w:szCs w:val="32"/>
          <w:lang w:val="en-US" w:eastAsia="zh-CN" w:bidi="zh-CN"/>
        </w:rPr>
        <w:t>，提升研究生培养质量</w:t>
      </w:r>
      <w:r>
        <w:rPr>
          <w:rFonts w:hint="eastAsia" w:ascii="仿宋_GB2312" w:hAnsi="仿宋_GB2312" w:eastAsia="仿宋_GB2312" w:cs="仿宋_GB2312"/>
          <w:b/>
          <w:bCs/>
          <w:spacing w:val="-4"/>
          <w:kern w:val="2"/>
          <w:sz w:val="32"/>
          <w:szCs w:val="32"/>
          <w:lang w:val="en-US" w:eastAsia="zh-CN" w:bidi="zh-CN"/>
        </w:rPr>
        <w:t>。</w:t>
      </w:r>
      <w:r>
        <w:rPr>
          <w:rFonts w:hint="eastAsia"/>
        </w:rPr>
        <w:t>根据《国务院学位委员会 教育部关于进一步严格规范学位与研究生教育质量管理的若干意见》文件精神，针对影响研究生培养质量的各个培养环节进行调查研究，进一步强化研究生培养全过程监控和质量提升。一是抓关键环节，促培养质量。进一步明确研究生课程考核、学位论文开题、中期考核、预答辩及学位答辩等培养环节的质量标准，强化各培养环节的质量要求，加大考核力度，构建“全链条”监控的研究生培养质量过程管理体系。二是提升研究生培养环节监管力度</w:t>
      </w:r>
      <w:r>
        <w:rPr>
          <w:rFonts w:hint="eastAsia"/>
          <w:lang w:eastAsia="zh-CN"/>
        </w:rPr>
        <w:t>，</w:t>
      </w:r>
      <w:r>
        <w:rPr>
          <w:rFonts w:hint="eastAsia"/>
        </w:rPr>
        <w:t>加大研究生跟踪培养力度，进一步在研究生培养管理过程中强化刚性约束</w:t>
      </w:r>
      <w:r>
        <w:rPr>
          <w:rFonts w:hint="eastAsia"/>
          <w:lang w:eastAsia="zh-CN"/>
        </w:rPr>
        <w:t>。</w:t>
      </w:r>
      <w:r>
        <w:rPr>
          <w:rFonts w:hint="eastAsia" w:cs="仿宋_GB2312"/>
          <w:b w:val="0"/>
          <w:bCs w:val="0"/>
          <w:spacing w:val="-4"/>
          <w:kern w:val="2"/>
          <w:sz w:val="32"/>
          <w:szCs w:val="32"/>
          <w:lang w:val="en-US" w:eastAsia="zh-CN" w:bidi="zh-CN"/>
        </w:rPr>
        <w:t>2021年，本学位点</w:t>
      </w:r>
      <w:r>
        <w:rPr>
          <w:rFonts w:hint="eastAsia" w:ascii="仿宋_GB2312" w:hAnsi="仿宋_GB2312" w:eastAsia="仿宋_GB2312" w:cs="仿宋_GB2312"/>
          <w:b w:val="0"/>
          <w:bCs w:val="0"/>
          <w:spacing w:val="-4"/>
          <w:kern w:val="2"/>
          <w:sz w:val="32"/>
          <w:szCs w:val="32"/>
          <w:lang w:val="en-US" w:eastAsia="zh-CN" w:bidi="zh-CN"/>
        </w:rPr>
        <w:t>在</w:t>
      </w:r>
      <w:r>
        <w:rPr>
          <w:rFonts w:hint="eastAsia" w:ascii="仿宋_GB2312" w:hAnsi="仿宋_GB2312" w:eastAsia="仿宋_GB2312" w:cs="仿宋_GB2312"/>
          <w:spacing w:val="-4"/>
          <w:kern w:val="2"/>
          <w:sz w:val="32"/>
          <w:szCs w:val="32"/>
          <w:lang w:val="en-US" w:eastAsia="zh-CN" w:bidi="zh-CN"/>
        </w:rPr>
        <w:t>校研究生获批创新基金资助项目省级立项8项、校级立项7项，发表论文100余篇</w:t>
      </w:r>
      <w:r>
        <w:rPr>
          <w:rFonts w:hint="eastAsia" w:cs="仿宋_GB2312"/>
          <w:spacing w:val="-4"/>
          <w:kern w:val="2"/>
          <w:sz w:val="32"/>
          <w:szCs w:val="32"/>
          <w:lang w:val="en-US" w:eastAsia="zh-CN" w:bidi="zh-CN"/>
        </w:rPr>
        <w:t>。</w:t>
      </w:r>
      <w:r>
        <w:rPr>
          <w:rFonts w:hint="eastAsia" w:ascii="仿宋_GB2312" w:hAnsi="仿宋_GB2312" w:eastAsia="仿宋_GB2312" w:cs="仿宋_GB2312"/>
          <w:spacing w:val="-4"/>
          <w:kern w:val="0"/>
          <w:sz w:val="32"/>
          <w:szCs w:val="32"/>
          <w:lang w:val="zh-CN" w:eastAsia="zh-CN" w:bidi="zh-CN"/>
        </w:rPr>
        <w:t>先后</w:t>
      </w:r>
      <w:r>
        <w:rPr>
          <w:rFonts w:hint="eastAsia" w:cs="仿宋_GB2312"/>
          <w:spacing w:val="-4"/>
          <w:kern w:val="0"/>
          <w:sz w:val="32"/>
          <w:szCs w:val="32"/>
          <w:lang w:val="en-US" w:eastAsia="zh-CN" w:bidi="zh-CN"/>
        </w:rPr>
        <w:t>多次组织</w:t>
      </w:r>
      <w:r>
        <w:rPr>
          <w:rFonts w:hint="eastAsia" w:ascii="仿宋_GB2312" w:hAnsi="仿宋_GB2312" w:eastAsia="仿宋_GB2312" w:cs="仿宋_GB2312"/>
          <w:spacing w:val="-4"/>
          <w:kern w:val="0"/>
          <w:sz w:val="32"/>
          <w:szCs w:val="32"/>
          <w:lang w:val="zh-CN" w:eastAsia="zh-CN" w:bidi="zh-CN"/>
        </w:rPr>
        <w:t>开展了“消费主义视域下的现代广告文化研究”“新课程·新教材·新高考·新教学”</w:t>
      </w:r>
      <w:r>
        <w:rPr>
          <w:rFonts w:hint="eastAsia" w:cs="仿宋_GB2312"/>
          <w:spacing w:val="-4"/>
          <w:kern w:val="0"/>
          <w:sz w:val="32"/>
          <w:szCs w:val="32"/>
          <w:lang w:val="en-US" w:eastAsia="zh-CN" w:bidi="zh-CN"/>
        </w:rPr>
        <w:t>等</w:t>
      </w:r>
      <w:r>
        <w:rPr>
          <w:rFonts w:hint="eastAsia" w:ascii="仿宋_GB2312" w:hAnsi="仿宋_GB2312" w:eastAsia="仿宋_GB2312" w:cs="仿宋_GB2312"/>
          <w:spacing w:val="-4"/>
          <w:kern w:val="0"/>
          <w:sz w:val="32"/>
          <w:szCs w:val="32"/>
          <w:lang w:val="zh-CN" w:eastAsia="zh-CN" w:bidi="zh-CN"/>
        </w:rPr>
        <w:t>学术沙龙活动，组织实施文学院研究生科研能力提升计划系列讲座，邀请谢晓明教授、刘伏玲博士等学者为研究生传授学术论文写作方法。</w:t>
      </w:r>
    </w:p>
    <w:p>
      <w:pPr>
        <w:pStyle w:val="3"/>
        <w:spacing w:before="29" w:line="364" w:lineRule="auto"/>
        <w:ind w:left="0" w:leftChars="0" w:right="438" w:firstLine="627" w:firstLineChars="200"/>
        <w:jc w:val="both"/>
        <w:rPr>
          <w:rFonts w:hint="eastAsia" w:ascii="仿宋_GB2312" w:hAnsi="仿宋_GB2312" w:eastAsia="仿宋_GB2312" w:cs="仿宋_GB2312"/>
          <w:spacing w:val="-1"/>
          <w:kern w:val="0"/>
          <w:sz w:val="32"/>
          <w:szCs w:val="32"/>
          <w:lang w:val="zh-CN" w:eastAsia="zh-CN" w:bidi="zh-CN"/>
        </w:rPr>
      </w:pPr>
      <w:r>
        <w:rPr>
          <w:rFonts w:hint="eastAsia" w:ascii="仿宋_GB2312" w:hAnsi="仿宋_GB2312" w:eastAsia="仿宋_GB2312" w:cs="仿宋_GB2312"/>
          <w:b/>
          <w:bCs/>
          <w:spacing w:val="-4"/>
          <w:kern w:val="0"/>
          <w:sz w:val="32"/>
          <w:szCs w:val="32"/>
          <w:lang w:val="zh-CN" w:eastAsia="zh-CN" w:bidi="zh-CN"/>
        </w:rPr>
        <w:t>完善研究生的奖助体系</w:t>
      </w:r>
      <w:r>
        <w:rPr>
          <w:rFonts w:hint="eastAsia" w:cs="仿宋_GB2312"/>
          <w:b/>
          <w:bCs/>
          <w:spacing w:val="-4"/>
          <w:kern w:val="0"/>
          <w:sz w:val="32"/>
          <w:szCs w:val="32"/>
          <w:lang w:val="zh-CN" w:eastAsia="zh-CN" w:bidi="zh-CN"/>
        </w:rPr>
        <w:t>，</w:t>
      </w:r>
      <w:r>
        <w:rPr>
          <w:rFonts w:hint="eastAsia" w:cs="仿宋_GB2312"/>
          <w:b/>
          <w:bCs/>
          <w:spacing w:val="-4"/>
          <w:kern w:val="0"/>
          <w:sz w:val="32"/>
          <w:szCs w:val="32"/>
          <w:lang w:val="en-US" w:eastAsia="zh-CN" w:bidi="zh-CN"/>
        </w:rPr>
        <w:t>切实保障研究生在校期间各类权益</w:t>
      </w:r>
      <w:r>
        <w:rPr>
          <w:rFonts w:hint="eastAsia" w:ascii="仿宋_GB2312" w:hAnsi="仿宋_GB2312" w:eastAsia="仿宋_GB2312" w:cs="仿宋_GB2312"/>
          <w:b/>
          <w:bCs/>
          <w:spacing w:val="-4"/>
          <w:kern w:val="0"/>
          <w:sz w:val="32"/>
          <w:szCs w:val="32"/>
          <w:lang w:val="zh-CN" w:eastAsia="zh-CN" w:bidi="zh-CN"/>
        </w:rPr>
        <w:t>。</w:t>
      </w:r>
      <w:r>
        <w:rPr>
          <w:b w:val="0"/>
          <w:bCs w:val="0"/>
          <w:spacing w:val="-6"/>
        </w:rPr>
        <w:t>本学位点严格执行《江西师范大学研究生国家奖学金评选与管理办法</w:t>
      </w:r>
      <w:r>
        <w:rPr>
          <w:b w:val="0"/>
          <w:bCs w:val="0"/>
        </w:rPr>
        <w:t>（修订）</w:t>
      </w:r>
      <w:r>
        <w:rPr>
          <w:b w:val="0"/>
          <w:bCs w:val="0"/>
          <w:spacing w:val="-2"/>
        </w:rPr>
        <w:t>》《江西师范大学研</w:t>
      </w:r>
      <w:r>
        <w:rPr>
          <w:b w:val="0"/>
          <w:bCs w:val="0"/>
          <w:spacing w:val="-3"/>
        </w:rPr>
        <w:t>究生奖助学金管理办法</w:t>
      </w:r>
      <w:r>
        <w:rPr>
          <w:b w:val="0"/>
          <w:bCs w:val="0"/>
        </w:rPr>
        <w:t>（试行</w:t>
      </w:r>
      <w:r>
        <w:rPr>
          <w:b w:val="0"/>
          <w:bCs w:val="0"/>
          <w:spacing w:val="-5"/>
        </w:rPr>
        <w:t>）</w:t>
      </w:r>
      <w:r>
        <w:rPr>
          <w:b w:val="0"/>
          <w:bCs w:val="0"/>
          <w:spacing w:val="-2"/>
        </w:rPr>
        <w:t>》《江西师范大学研究生国</w:t>
      </w:r>
      <w:r>
        <w:rPr>
          <w:b w:val="0"/>
          <w:bCs w:val="0"/>
          <w:spacing w:val="-3"/>
        </w:rPr>
        <w:t>家助学金</w:t>
      </w:r>
      <w:r>
        <w:rPr>
          <w:b w:val="0"/>
          <w:bCs w:val="0"/>
        </w:rPr>
        <w:t>（暂行</w:t>
      </w:r>
      <w:r>
        <w:rPr>
          <w:b w:val="0"/>
          <w:bCs w:val="0"/>
          <w:spacing w:val="-3"/>
        </w:rPr>
        <w:t>）</w:t>
      </w:r>
      <w:r>
        <w:rPr>
          <w:b w:val="0"/>
          <w:bCs w:val="0"/>
          <w:spacing w:val="-1"/>
        </w:rPr>
        <w:t>实施细则》《江西师范大学研究生国</w:t>
      </w:r>
      <w:r>
        <w:rPr>
          <w:spacing w:val="-1"/>
        </w:rPr>
        <w:t>家奖</w:t>
      </w:r>
      <w:r>
        <w:rPr>
          <w:spacing w:val="-4"/>
        </w:rPr>
        <w:t>学金、江西省政府研究生奖学金实施细则》《江西省高校研</w:t>
      </w:r>
      <w:r>
        <w:rPr>
          <w:spacing w:val="-7"/>
        </w:rPr>
        <w:t>究生学业奖学金、江西师范大学研究生学业奖学金实施细则》</w:t>
      </w:r>
      <w:r>
        <w:rPr>
          <w:rFonts w:hint="eastAsia"/>
          <w:spacing w:val="-7"/>
          <w:lang w:val="en-US" w:eastAsia="zh-CN"/>
        </w:rPr>
        <w:t>等奖励细则，</w:t>
      </w:r>
      <w:r>
        <w:rPr>
          <w:rFonts w:hint="eastAsia" w:ascii="仿宋_GB2312" w:hAnsi="仿宋_GB2312" w:eastAsia="仿宋_GB2312" w:cs="仿宋_GB2312"/>
          <w:b w:val="0"/>
          <w:bCs w:val="0"/>
          <w:spacing w:val="-4"/>
          <w:kern w:val="0"/>
          <w:sz w:val="32"/>
          <w:szCs w:val="32"/>
          <w:lang w:val="zh-CN" w:eastAsia="zh-CN" w:bidi="zh-CN"/>
        </w:rPr>
        <w:t>根据学校的各类奖学金、助学金、助学贷款等制度，</w:t>
      </w:r>
      <w:r>
        <w:rPr>
          <w:rFonts w:hint="eastAsia" w:cs="仿宋_GB2312"/>
          <w:b w:val="0"/>
          <w:bCs w:val="0"/>
          <w:spacing w:val="-4"/>
          <w:kern w:val="0"/>
          <w:sz w:val="32"/>
          <w:szCs w:val="32"/>
          <w:lang w:val="en-US" w:eastAsia="zh-CN" w:bidi="zh-CN"/>
        </w:rPr>
        <w:t>制订《文学院研究生奖学金评选实施细则》，</w:t>
      </w:r>
      <w:r>
        <w:rPr>
          <w:rFonts w:hint="eastAsia" w:ascii="仿宋_GB2312" w:hAnsi="仿宋_GB2312" w:eastAsia="仿宋_GB2312" w:cs="仿宋_GB2312"/>
          <w:b w:val="0"/>
          <w:bCs w:val="0"/>
          <w:spacing w:val="-4"/>
          <w:kern w:val="0"/>
          <w:sz w:val="32"/>
          <w:szCs w:val="32"/>
          <w:lang w:val="zh-CN" w:eastAsia="zh-CN" w:bidi="zh-CN"/>
        </w:rPr>
        <w:t>建立多元奖助体系，临时困难补助措施到位，提高研究生待遇水平，保障研究生学业完成。完善研究生管理制度和管理体系，建立研究生表达反馈通道，依托定期反馈渠道、权益座谈会等途径，为全校研究生进行权益维护服务工作，保障同学们在学期间的各类权益。</w:t>
      </w:r>
    </w:p>
    <w:p>
      <w:pPr>
        <w:widowControl/>
        <w:numPr>
          <w:ilvl w:val="0"/>
          <w:numId w:val="0"/>
        </w:numPr>
        <w:spacing w:line="560" w:lineRule="exact"/>
        <w:ind w:firstLine="640" w:firstLineChars="200"/>
        <w:textAlignment w:val="baseline"/>
        <w:rPr>
          <w:rFonts w:hint="default" w:ascii="仿宋_GB2312" w:hAnsi="仿宋_GB2312" w:eastAsia="仿宋_GB2312" w:cs="仿宋_GB2312"/>
          <w:b w:val="0"/>
          <w:bCs w:val="0"/>
          <w:spacing w:val="-4"/>
          <w:kern w:val="2"/>
          <w:sz w:val="32"/>
          <w:szCs w:val="32"/>
          <w:lang w:val="en-US" w:eastAsia="zh-CN" w:bidi="zh-CN"/>
        </w:rPr>
      </w:pPr>
      <w:r>
        <w:rPr>
          <w:rStyle w:val="11"/>
          <w:rFonts w:hint="eastAsia" w:ascii="黑体" w:hAnsi="黑体" w:eastAsia="黑体"/>
          <w:szCs w:val="32"/>
          <w:lang w:val="en-US"/>
        </w:rPr>
        <w:t>四、</w:t>
      </w:r>
      <w:r>
        <w:rPr>
          <w:rStyle w:val="11"/>
          <w:rFonts w:hint="eastAsia" w:ascii="黑体" w:hAnsi="黑体" w:eastAsia="黑体"/>
          <w:szCs w:val="32"/>
        </w:rPr>
        <w:t>学位点建设情况</w:t>
      </w:r>
    </w:p>
    <w:p>
      <w:pPr>
        <w:widowControl/>
        <w:numPr>
          <w:ilvl w:val="0"/>
          <w:numId w:val="0"/>
        </w:numPr>
        <w:spacing w:line="560" w:lineRule="exact"/>
        <w:ind w:firstLine="627" w:firstLineChars="200"/>
        <w:textAlignment w:val="baseline"/>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b/>
          <w:bCs/>
          <w:spacing w:val="-4"/>
          <w:kern w:val="2"/>
          <w:sz w:val="32"/>
          <w:szCs w:val="32"/>
          <w:lang w:val="en-US" w:eastAsia="zh-CN" w:bidi="zh-CN"/>
        </w:rPr>
        <w:t>坚持</w:t>
      </w:r>
      <w:r>
        <w:rPr>
          <w:rFonts w:hint="eastAsia" w:ascii="仿宋_GB2312" w:hAnsi="仿宋_GB2312" w:eastAsia="仿宋_GB2312" w:cs="仿宋_GB2312"/>
          <w:b/>
          <w:bCs/>
          <w:spacing w:val="-4"/>
          <w:kern w:val="2"/>
          <w:sz w:val="32"/>
          <w:szCs w:val="32"/>
          <w:lang w:val="zh-CN" w:eastAsia="zh-CN" w:bidi="zh-CN"/>
        </w:rPr>
        <w:t>引才与育才相结合，</w:t>
      </w:r>
      <w:r>
        <w:rPr>
          <w:rFonts w:hint="eastAsia" w:ascii="仿宋_GB2312" w:hAnsi="仿宋_GB2312" w:eastAsia="仿宋_GB2312" w:cs="仿宋_GB2312"/>
          <w:b/>
          <w:bCs/>
          <w:spacing w:val="-4"/>
          <w:kern w:val="2"/>
          <w:sz w:val="32"/>
          <w:szCs w:val="32"/>
          <w:lang w:val="en-US" w:eastAsia="zh-CN" w:bidi="zh-CN"/>
        </w:rPr>
        <w:t>人才队伍建设取得实质性进展。</w:t>
      </w:r>
      <w:r>
        <w:rPr>
          <w:rFonts w:hint="eastAsia" w:ascii="仿宋_GB2312" w:hAnsi="仿宋_GB2312" w:eastAsia="仿宋_GB2312" w:cs="仿宋_GB2312"/>
          <w:kern w:val="2"/>
          <w:sz w:val="32"/>
          <w:szCs w:val="32"/>
          <w:lang w:val="zh-CN" w:eastAsia="zh-CN" w:bidi="zh-CN"/>
        </w:rPr>
        <w:t>本学位点现有“青年长江学者”、中宣部“四个一批”人才、国家教学名师、国家社科基金评委等国字号人才十余人。</w:t>
      </w:r>
      <w:r>
        <w:rPr>
          <w:rFonts w:hint="eastAsia" w:ascii="仿宋_GB2312" w:hAnsi="仿宋_GB2312" w:eastAsia="仿宋_GB2312" w:cs="仿宋_GB2312"/>
          <w:kern w:val="2"/>
          <w:sz w:val="32"/>
          <w:szCs w:val="32"/>
          <w:lang w:val="en-US" w:eastAsia="zh-CN" w:bidi="zh-CN"/>
        </w:rPr>
        <w:t>2021年，在稳定现有人才队伍的基础上，引进优秀海归1名、优秀博士1名（均已来校报到），另有1人正在签约过程中。在本土人才培育方面，1人入选教育部“青年长江学者”，1人入选江西省引进培养创新创业高层次人才“千人计划”，1人入选江西省“井冈学者特聘教授”，2人入选江西省“青年井冈学者”。在推进师资进修方面，2021年在职攻读博士学位共4人（其中2人已获博士学位），在外访学1人。另有国际教育学院卢普玲等7名教师调整到本学位点工作。</w:t>
      </w:r>
    </w:p>
    <w:p>
      <w:pPr>
        <w:widowControl/>
        <w:numPr>
          <w:ilvl w:val="0"/>
          <w:numId w:val="0"/>
        </w:numPr>
        <w:spacing w:line="560" w:lineRule="exact"/>
        <w:ind w:firstLine="627" w:firstLineChars="200"/>
        <w:textAlignment w:val="baseline"/>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b/>
          <w:bCs/>
          <w:spacing w:val="-4"/>
          <w:kern w:val="2"/>
          <w:sz w:val="32"/>
          <w:szCs w:val="32"/>
          <w:lang w:val="en-US" w:eastAsia="zh-CN" w:bidi="zh-CN"/>
        </w:rPr>
        <w:t>以人才培养为核心，以卓越教育为抓手，持续深化研究生教育综合改革，人才培养实效颇为显著。</w:t>
      </w:r>
      <w:r>
        <w:rPr>
          <w:rFonts w:hint="eastAsia" w:ascii="仿宋_GB2312" w:hAnsi="仿宋_GB2312" w:eastAsia="仿宋_GB2312" w:cs="仿宋_GB2312"/>
          <w:kern w:val="2"/>
          <w:sz w:val="32"/>
          <w:szCs w:val="32"/>
          <w:lang w:val="en-US" w:eastAsia="zh-CN" w:bidi="zh-CN"/>
        </w:rPr>
        <w:t>积极鼓励学生参加国际国内各项赛事，力争荣获重大德育荣誉称号。2021年，学生在第十七届“挑战杯”江西省大学生课外学术科技作品竞赛中获特等奖1项、二等奖1项、红色专项特等奖1项；在第五届“中学西渐杯”全国汉语国际教育综合技能大赛中获二等奖2项；在第三届中华经典诵写讲大赛“诗教中国”诗词讲解大赛中获一等奖2项、二等奖2项。</w:t>
      </w:r>
    </w:p>
    <w:p>
      <w:pPr>
        <w:widowControl/>
        <w:numPr>
          <w:ilvl w:val="0"/>
          <w:numId w:val="0"/>
        </w:numPr>
        <w:spacing w:line="560" w:lineRule="exact"/>
        <w:ind w:firstLine="627" w:firstLineChars="200"/>
        <w:textAlignment w:val="baseline"/>
        <w:rPr>
          <w:rFonts w:hint="eastAsia" w:ascii="仿宋_GB2312" w:hAnsi="仿宋_GB2312" w:eastAsia="仿宋_GB2312" w:cs="仿宋_GB2312"/>
          <w:kern w:val="2"/>
          <w:sz w:val="32"/>
          <w:szCs w:val="32"/>
          <w:lang w:val="zh-CN" w:eastAsia="zh-CN" w:bidi="zh-CN"/>
        </w:rPr>
      </w:pPr>
      <w:r>
        <w:rPr>
          <w:rFonts w:hint="eastAsia" w:ascii="仿宋_GB2312" w:hAnsi="仿宋_GB2312" w:eastAsia="仿宋_GB2312" w:cs="仿宋_GB2312"/>
          <w:b/>
          <w:bCs/>
          <w:spacing w:val="-4"/>
          <w:kern w:val="2"/>
          <w:sz w:val="32"/>
          <w:szCs w:val="32"/>
          <w:lang w:val="en-US" w:eastAsia="zh-CN" w:bidi="zh-CN"/>
        </w:rPr>
        <w:t>完善科研考核机制，</w:t>
      </w:r>
      <w:r>
        <w:rPr>
          <w:rFonts w:hint="eastAsia" w:ascii="仿宋_GB2312" w:hAnsi="仿宋_GB2312" w:eastAsia="仿宋_GB2312" w:cs="仿宋_GB2312"/>
          <w:b/>
          <w:bCs/>
          <w:spacing w:val="-4"/>
          <w:kern w:val="2"/>
          <w:sz w:val="32"/>
          <w:szCs w:val="32"/>
          <w:lang w:val="zh-CN" w:eastAsia="zh-CN" w:bidi="zh-CN"/>
        </w:rPr>
        <w:t>科研氛围浓厚，教师科研贡献力较大。</w:t>
      </w:r>
      <w:r>
        <w:rPr>
          <w:rFonts w:hint="eastAsia" w:ascii="仿宋_GB2312" w:hAnsi="仿宋_GB2312" w:eastAsia="仿宋_GB2312" w:cs="仿宋_GB2312"/>
          <w:kern w:val="2"/>
          <w:sz w:val="32"/>
          <w:szCs w:val="32"/>
          <w:lang w:val="zh-CN" w:eastAsia="zh-CN" w:bidi="zh-CN"/>
        </w:rPr>
        <w:t>在科学研究方面，近两年来，在相关政策的保障和激励下，本学位点教师科研热情持续保持，约1/3专任教师科研贡献力较大。教学科研团队研究方向更为明确，协同意识彰显，业绩突出，取得一批标志性成果。2020年获批国家社科基金</w:t>
      </w:r>
      <w:r>
        <w:rPr>
          <w:rFonts w:hint="eastAsia" w:ascii="仿宋_GB2312" w:hAnsi="仿宋_GB2312" w:eastAsia="仿宋_GB2312" w:cs="仿宋_GB2312"/>
          <w:kern w:val="2"/>
          <w:sz w:val="32"/>
          <w:szCs w:val="32"/>
          <w:lang w:val="en-US" w:eastAsia="zh-CN" w:bidi="zh-CN"/>
        </w:rPr>
        <w:t>8</w:t>
      </w:r>
      <w:r>
        <w:rPr>
          <w:rFonts w:hint="eastAsia" w:ascii="仿宋_GB2312" w:hAnsi="仿宋_GB2312" w:eastAsia="仿宋_GB2312" w:cs="仿宋_GB2312"/>
          <w:kern w:val="2"/>
          <w:sz w:val="32"/>
          <w:szCs w:val="32"/>
          <w:lang w:val="zh-CN" w:eastAsia="zh-CN" w:bidi="zh-CN"/>
        </w:rPr>
        <w:t>项，覆盖国家社科基金所有层级；2021年获批国家社科基金</w:t>
      </w:r>
      <w:r>
        <w:rPr>
          <w:rFonts w:hint="eastAsia" w:ascii="仿宋_GB2312" w:hAnsi="仿宋_GB2312" w:eastAsia="仿宋_GB2312" w:cs="仿宋_GB2312"/>
          <w:kern w:val="2"/>
          <w:sz w:val="32"/>
          <w:szCs w:val="32"/>
          <w:lang w:val="en-US" w:eastAsia="zh-CN" w:bidi="zh-CN"/>
        </w:rPr>
        <w:t>4</w:t>
      </w:r>
      <w:r>
        <w:rPr>
          <w:rFonts w:hint="eastAsia" w:ascii="仿宋_GB2312" w:hAnsi="仿宋_GB2312" w:eastAsia="仿宋_GB2312" w:cs="仿宋_GB2312"/>
          <w:kern w:val="2"/>
          <w:sz w:val="32"/>
          <w:szCs w:val="32"/>
          <w:lang w:val="zh-CN" w:eastAsia="zh-CN" w:bidi="zh-CN"/>
        </w:rPr>
        <w:t>项；有多</w:t>
      </w:r>
      <w:r>
        <w:rPr>
          <w:rFonts w:hint="eastAsia" w:ascii="仿宋_GB2312" w:hAnsi="仿宋_GB2312" w:eastAsia="仿宋_GB2312" w:cs="仿宋_GB2312"/>
          <w:kern w:val="2"/>
          <w:sz w:val="32"/>
          <w:szCs w:val="32"/>
          <w:lang w:val="en-US" w:eastAsia="zh-CN" w:bidi="zh-CN"/>
        </w:rPr>
        <w:t>位</w:t>
      </w:r>
      <w:r>
        <w:rPr>
          <w:rFonts w:hint="eastAsia" w:ascii="仿宋_GB2312" w:hAnsi="仿宋_GB2312" w:eastAsia="仿宋_GB2312" w:cs="仿宋_GB2312"/>
          <w:kern w:val="2"/>
          <w:sz w:val="32"/>
          <w:szCs w:val="32"/>
          <w:lang w:val="zh-CN" w:eastAsia="zh-CN" w:bidi="zh-CN"/>
        </w:rPr>
        <w:t>教师在《中国社科科学》《文学评论》《文艺研究》《光明日报》等国家权威报刊发表文章。较之于“十三五”初期及之前，本学科在学科研究方面的业绩取得了较大的进步。</w:t>
      </w:r>
    </w:p>
    <w:p>
      <w:pPr>
        <w:widowControl/>
        <w:numPr>
          <w:ilvl w:val="0"/>
          <w:numId w:val="0"/>
        </w:numPr>
        <w:spacing w:line="560" w:lineRule="exact"/>
        <w:ind w:firstLine="627" w:firstLineChars="200"/>
        <w:textAlignment w:val="baseline"/>
        <w:rPr>
          <w:rFonts w:hint="eastAsia" w:ascii="仿宋_GB2312" w:hAnsi="仿宋_GB2312" w:eastAsia="仿宋_GB2312" w:cs="仿宋_GB2312"/>
          <w:kern w:val="2"/>
          <w:sz w:val="32"/>
          <w:szCs w:val="32"/>
          <w:lang w:val="en-US" w:eastAsia="zh-CN" w:bidi="zh-CN"/>
        </w:rPr>
      </w:pPr>
      <w:r>
        <w:rPr>
          <w:rFonts w:hint="eastAsia" w:ascii="仿宋_GB2312" w:hAnsi="仿宋_GB2312" w:eastAsia="仿宋_GB2312" w:cs="仿宋_GB2312"/>
          <w:b/>
          <w:bCs/>
          <w:spacing w:val="-4"/>
          <w:kern w:val="2"/>
          <w:sz w:val="32"/>
          <w:szCs w:val="32"/>
          <w:lang w:val="en-US" w:eastAsia="zh-CN" w:bidi="zh-CN"/>
        </w:rPr>
        <w:t>积极推进学科社会服务工作，传承创新优秀传统文化，推动区域社会文化发展。</w:t>
      </w:r>
      <w:r>
        <w:rPr>
          <w:rFonts w:hint="eastAsia" w:ascii="仿宋_GB2312" w:hAnsi="仿宋_GB2312" w:eastAsia="仿宋_GB2312" w:cs="仿宋_GB2312"/>
          <w:kern w:val="2"/>
          <w:sz w:val="32"/>
          <w:szCs w:val="32"/>
          <w:lang w:val="en-US" w:eastAsia="zh-CN" w:bidi="zh-CN"/>
        </w:rPr>
        <w:t>重点</w:t>
      </w:r>
      <w:r>
        <w:rPr>
          <w:rFonts w:hint="eastAsia" w:ascii="仿宋_GB2312" w:hAnsi="仿宋_GB2312" w:eastAsia="仿宋_GB2312" w:cs="仿宋_GB2312"/>
          <w:kern w:val="2"/>
          <w:sz w:val="32"/>
          <w:szCs w:val="32"/>
          <w:lang w:val="zh-CN" w:eastAsia="zh-CN" w:bidi="zh-CN"/>
        </w:rPr>
        <w:t>推进区域基础语文教师发展，</w:t>
      </w:r>
      <w:r>
        <w:rPr>
          <w:rFonts w:hint="eastAsia" w:ascii="仿宋_GB2312" w:hAnsi="仿宋_GB2312" w:eastAsia="仿宋_GB2312" w:cs="仿宋_GB2312"/>
          <w:kern w:val="2"/>
          <w:sz w:val="32"/>
          <w:szCs w:val="32"/>
          <w:lang w:val="en-US" w:eastAsia="zh-CN" w:bidi="zh-CN"/>
        </w:rPr>
        <w:t>发挥叙事学在</w:t>
      </w:r>
      <w:r>
        <w:rPr>
          <w:rFonts w:hint="eastAsia" w:ascii="仿宋_GB2312" w:hAnsi="仿宋_GB2312" w:eastAsia="仿宋_GB2312" w:cs="仿宋_GB2312"/>
          <w:kern w:val="2"/>
          <w:sz w:val="32"/>
          <w:szCs w:val="32"/>
          <w:lang w:val="zh-CN" w:eastAsia="zh-CN" w:bidi="zh-CN"/>
        </w:rPr>
        <w:t>传播中国声音、讲好中国故事</w:t>
      </w:r>
      <w:r>
        <w:rPr>
          <w:rFonts w:hint="eastAsia" w:ascii="仿宋_GB2312" w:hAnsi="仿宋_GB2312" w:eastAsia="仿宋_GB2312" w:cs="仿宋_GB2312"/>
          <w:kern w:val="2"/>
          <w:sz w:val="32"/>
          <w:szCs w:val="32"/>
          <w:lang w:val="en-US" w:eastAsia="zh-CN" w:bidi="zh-CN"/>
        </w:rPr>
        <w:t>的作用，推进</w:t>
      </w:r>
      <w:r>
        <w:rPr>
          <w:rFonts w:hint="eastAsia" w:ascii="仿宋_GB2312" w:hAnsi="仿宋_GB2312" w:eastAsia="仿宋_GB2312" w:cs="仿宋_GB2312"/>
          <w:kern w:val="2"/>
          <w:sz w:val="32"/>
          <w:szCs w:val="32"/>
          <w:lang w:val="zh-CN" w:eastAsia="zh-CN" w:bidi="zh-CN"/>
        </w:rPr>
        <w:t>中国化马克思主义理论与文学批评，</w:t>
      </w:r>
      <w:r>
        <w:rPr>
          <w:rFonts w:hint="eastAsia" w:ascii="仿宋_GB2312" w:hAnsi="仿宋_GB2312" w:eastAsia="仿宋_GB2312" w:cs="仿宋_GB2312"/>
          <w:kern w:val="2"/>
          <w:sz w:val="32"/>
          <w:szCs w:val="32"/>
          <w:lang w:val="en-US" w:eastAsia="zh-CN" w:bidi="zh-CN"/>
        </w:rPr>
        <w:t>强化赣鄱文化资源开发研究，继续推进</w:t>
      </w:r>
      <w:r>
        <w:rPr>
          <w:rFonts w:hint="eastAsia" w:ascii="仿宋_GB2312" w:hAnsi="仿宋_GB2312" w:eastAsia="仿宋_GB2312" w:cs="仿宋_GB2312"/>
          <w:kern w:val="2"/>
          <w:sz w:val="32"/>
          <w:szCs w:val="32"/>
          <w:lang w:val="zh-CN" w:eastAsia="zh-CN" w:bidi="zh-CN"/>
        </w:rPr>
        <w:t>国际中文教育。在传承创新优秀文化方面，本学位点教师普及优秀中华传统文化，利用诗词、书法等文艺形式开展线上、线下文化普及活动。</w:t>
      </w:r>
      <w:r>
        <w:rPr>
          <w:rFonts w:hint="eastAsia" w:ascii="仿宋_GB2312" w:hAnsi="仿宋_GB2312" w:eastAsia="仿宋_GB2312" w:cs="仿宋_GB2312"/>
          <w:kern w:val="2"/>
          <w:sz w:val="32"/>
          <w:szCs w:val="32"/>
          <w:lang w:val="en-US" w:eastAsia="zh-CN" w:bidi="zh-CN"/>
        </w:rPr>
        <w:t>如学位点教师李福言老师充分利用专业知识，推行小篆家书等活动，多次被各类媒体报道；杜华平老师多次带领研究生前往江西省内各地探寻地方文化资源，并将其进行整理；张勇生老师作为国家语言资源保护工程核心专家组专家，多次带领研究生开展田野调查，收集整理地方方言，为赣方言的保护与传承作出切实的贡献。有效推进“国培计划”项目，尤其是重点开展和推进江西省中小学语文学科名师培养工作；办好、办强语文教育教学期刊《读写月报》，深化语文教育研究与改革实践，服务、引领区域基础语文教育发展。2021年，本学位点进一步加强校地与校际战略合作，与白鹿洞书院、胡辛文学艺术馆、九江学院文传学院、宜春学院文传学院签订合作协议，推进赣鄱文化资源开发研究、文史哲拔尖人才培养等相关工作，强化学科社会化服务。</w:t>
      </w:r>
    </w:p>
    <w:p>
      <w:pPr>
        <w:widowControl/>
        <w:numPr>
          <w:ilvl w:val="0"/>
          <w:numId w:val="0"/>
        </w:numPr>
        <w:spacing w:line="560" w:lineRule="exact"/>
        <w:ind w:firstLine="627" w:firstLineChars="200"/>
        <w:textAlignment w:val="baseline"/>
        <w:rPr>
          <w:rFonts w:hint="eastAsia" w:ascii="仿宋_GB2312" w:hAnsi="仿宋_GB2312" w:eastAsia="仿宋_GB2312" w:cs="仿宋_GB2312"/>
          <w:kern w:val="2"/>
          <w:sz w:val="32"/>
          <w:szCs w:val="32"/>
          <w:lang w:val="zh-CN" w:eastAsia="zh-CN" w:bidi="zh-CN"/>
        </w:rPr>
      </w:pPr>
      <w:r>
        <w:rPr>
          <w:rFonts w:hint="eastAsia" w:ascii="仿宋_GB2312" w:hAnsi="仿宋_GB2312" w:eastAsia="仿宋_GB2312" w:cs="仿宋_GB2312"/>
          <w:b/>
          <w:bCs/>
          <w:spacing w:val="-4"/>
          <w:kern w:val="2"/>
          <w:sz w:val="32"/>
          <w:szCs w:val="32"/>
          <w:lang w:val="zh-CN" w:eastAsia="zh-CN" w:bidi="zh-CN"/>
        </w:rPr>
        <w:t>积极构建教育国际化理念，教育国际化进程</w:t>
      </w:r>
      <w:r>
        <w:rPr>
          <w:rFonts w:hint="eastAsia" w:ascii="仿宋_GB2312" w:hAnsi="仿宋_GB2312" w:eastAsia="仿宋_GB2312" w:cs="仿宋_GB2312"/>
          <w:b/>
          <w:bCs/>
          <w:spacing w:val="-4"/>
          <w:kern w:val="2"/>
          <w:sz w:val="32"/>
          <w:szCs w:val="32"/>
          <w:lang w:val="en-US" w:eastAsia="zh-CN" w:bidi="zh-CN"/>
        </w:rPr>
        <w:t>取得进展。</w:t>
      </w:r>
      <w:r>
        <w:rPr>
          <w:rFonts w:hint="eastAsia" w:ascii="仿宋_GB2312" w:hAnsi="仿宋_GB2312" w:eastAsia="仿宋_GB2312" w:cs="仿宋_GB2312"/>
          <w:kern w:val="2"/>
          <w:sz w:val="32"/>
          <w:szCs w:val="32"/>
          <w:lang w:val="en-US" w:eastAsia="zh-CN" w:bidi="zh-CN"/>
        </w:rPr>
        <w:t>近年来，本学位点</w:t>
      </w:r>
      <w:r>
        <w:rPr>
          <w:rFonts w:hint="eastAsia" w:ascii="仿宋_GB2312" w:hAnsi="仿宋_GB2312" w:eastAsia="仿宋_GB2312" w:cs="仿宋_GB2312"/>
          <w:kern w:val="2"/>
          <w:sz w:val="32"/>
          <w:szCs w:val="32"/>
          <w:lang w:val="zh-CN" w:eastAsia="zh-CN" w:bidi="zh-CN"/>
        </w:rPr>
        <w:t>有效搭建师生出国（境）访学交流平台，充分利用学校已经建成的马达加斯加塔那那利佛大学孔子学院、巴勒斯坦圣城大学孔子学院、墨西哥城孔子学院等，输送师资，加强语言与文化的合作交流。2021年招收孔子学院奖学金生共计15人（其中本科生5人、硕士生5人）。 此外，完成与塔那那利佛大学孔子学院开展汉语国际教育本科专业“2+2”联合办学的相关前期工作。</w:t>
      </w:r>
    </w:p>
    <w:p>
      <w:pPr>
        <w:widowControl/>
        <w:numPr>
          <w:ilvl w:val="0"/>
          <w:numId w:val="0"/>
        </w:numPr>
        <w:spacing w:line="560" w:lineRule="exact"/>
        <w:ind w:firstLine="627" w:firstLineChars="200"/>
        <w:textAlignment w:val="baseline"/>
        <w:rPr>
          <w:rFonts w:hint="eastAsia" w:ascii="仿宋_GB2312" w:hAnsi="仿宋_GB2312" w:eastAsia="仿宋_GB2312" w:cs="仿宋_GB2312"/>
          <w:kern w:val="2"/>
          <w:sz w:val="32"/>
          <w:szCs w:val="32"/>
          <w:lang w:val="zh-CN" w:eastAsia="zh-CN" w:bidi="zh-CN"/>
        </w:rPr>
      </w:pPr>
      <w:r>
        <w:rPr>
          <w:rFonts w:hint="eastAsia" w:ascii="仿宋_GB2312" w:hAnsi="仿宋_GB2312" w:eastAsia="仿宋_GB2312" w:cs="仿宋_GB2312"/>
          <w:b/>
          <w:bCs/>
          <w:spacing w:val="-4"/>
          <w:kern w:val="2"/>
          <w:sz w:val="32"/>
          <w:szCs w:val="32"/>
          <w:lang w:val="zh-CN" w:eastAsia="zh-CN" w:bidi="zh-CN"/>
        </w:rPr>
        <w:t>加强自主学术交流活动，</w:t>
      </w:r>
      <w:r>
        <w:rPr>
          <w:rFonts w:hint="eastAsia" w:ascii="仿宋_GB2312" w:hAnsi="仿宋_GB2312" w:eastAsia="仿宋_GB2312" w:cs="仿宋_GB2312"/>
          <w:b/>
          <w:bCs/>
          <w:spacing w:val="-4"/>
          <w:kern w:val="2"/>
          <w:sz w:val="32"/>
          <w:szCs w:val="32"/>
          <w:lang w:val="en-US" w:eastAsia="zh-CN" w:bidi="zh-CN"/>
        </w:rPr>
        <w:t>创造良好的学术环境。</w:t>
      </w:r>
      <w:r>
        <w:rPr>
          <w:rFonts w:hint="eastAsia" w:ascii="仿宋_GB2312" w:hAnsi="仿宋_GB2312" w:eastAsia="仿宋_GB2312" w:cs="仿宋_GB2312"/>
          <w:b/>
          <w:bCs/>
          <w:spacing w:val="-4"/>
          <w:kern w:val="2"/>
          <w:sz w:val="32"/>
          <w:szCs w:val="32"/>
          <w:lang w:val="zh-CN" w:eastAsia="zh-CN" w:bidi="zh-CN"/>
        </w:rPr>
        <w:t xml:space="preserve"> </w:t>
      </w:r>
      <w:r>
        <w:rPr>
          <w:rFonts w:hint="eastAsia" w:ascii="仿宋_GB2312" w:hAnsi="仿宋_GB2312" w:eastAsia="仿宋_GB2312" w:cs="仿宋_GB2312"/>
          <w:kern w:val="2"/>
          <w:sz w:val="32"/>
          <w:szCs w:val="32"/>
          <w:lang w:val="en-US" w:eastAsia="zh-CN" w:bidi="zh-CN"/>
        </w:rPr>
        <w:t>2021年，受疫情影响，全年共举办学术会议2次，分别是</w:t>
      </w:r>
      <w:r>
        <w:rPr>
          <w:rFonts w:hint="eastAsia" w:ascii="仿宋_GB2312" w:hAnsi="仿宋_GB2312" w:eastAsia="仿宋_GB2312" w:cs="仿宋_GB2312"/>
          <w:kern w:val="2"/>
          <w:sz w:val="32"/>
          <w:szCs w:val="32"/>
          <w:lang w:val="zh-CN" w:eastAsia="zh-CN" w:bidi="zh-CN"/>
        </w:rPr>
        <w:t>江西省首届国际中文教育研讨会暨教学成果展示（</w:t>
      </w:r>
      <w:r>
        <w:rPr>
          <w:rFonts w:hint="eastAsia" w:ascii="仿宋_GB2312" w:hAnsi="仿宋_GB2312" w:eastAsia="仿宋_GB2312" w:cs="仿宋_GB2312"/>
          <w:kern w:val="2"/>
          <w:sz w:val="32"/>
          <w:szCs w:val="32"/>
          <w:lang w:val="en-US" w:eastAsia="zh-CN" w:bidi="zh-CN"/>
        </w:rPr>
        <w:t>线下</w:t>
      </w:r>
      <w:r>
        <w:rPr>
          <w:rFonts w:hint="eastAsia" w:ascii="仿宋_GB2312" w:hAnsi="仿宋_GB2312" w:eastAsia="仿宋_GB2312" w:cs="仿宋_GB2312"/>
          <w:kern w:val="2"/>
          <w:sz w:val="32"/>
          <w:szCs w:val="32"/>
          <w:lang w:val="zh-CN" w:eastAsia="zh-CN" w:bidi="zh-CN"/>
        </w:rPr>
        <w:t>）</w:t>
      </w:r>
      <w:r>
        <w:rPr>
          <w:rFonts w:hint="eastAsia" w:ascii="仿宋_GB2312" w:hAnsi="仿宋_GB2312" w:eastAsia="仿宋_GB2312" w:cs="仿宋_GB2312"/>
          <w:kern w:val="2"/>
          <w:sz w:val="32"/>
          <w:szCs w:val="32"/>
          <w:lang w:val="en-US" w:eastAsia="zh-CN" w:bidi="zh-CN"/>
        </w:rPr>
        <w:t>和</w:t>
      </w:r>
      <w:r>
        <w:rPr>
          <w:rFonts w:hint="eastAsia" w:ascii="仿宋_GB2312" w:hAnsi="仿宋_GB2312" w:eastAsia="仿宋_GB2312" w:cs="仿宋_GB2312"/>
          <w:kern w:val="2"/>
          <w:sz w:val="32"/>
          <w:szCs w:val="32"/>
          <w:lang w:val="zh-CN" w:eastAsia="zh-CN" w:bidi="zh-CN"/>
        </w:rPr>
        <w:t>“诗歌叙事学与济慈诗歌新论”（</w:t>
      </w:r>
      <w:r>
        <w:rPr>
          <w:rFonts w:hint="eastAsia" w:ascii="仿宋_GB2312" w:hAnsi="仿宋_GB2312" w:eastAsia="仿宋_GB2312" w:cs="仿宋_GB2312"/>
          <w:kern w:val="2"/>
          <w:sz w:val="32"/>
          <w:szCs w:val="32"/>
          <w:lang w:val="en-US" w:eastAsia="zh-CN" w:bidi="zh-CN"/>
        </w:rPr>
        <w:t>线上</w:t>
      </w:r>
      <w:r>
        <w:rPr>
          <w:rFonts w:hint="eastAsia" w:ascii="仿宋_GB2312" w:hAnsi="仿宋_GB2312" w:eastAsia="仿宋_GB2312" w:cs="仿宋_GB2312"/>
          <w:kern w:val="2"/>
          <w:sz w:val="32"/>
          <w:szCs w:val="32"/>
          <w:lang w:val="zh-CN" w:eastAsia="zh-CN" w:bidi="zh-CN"/>
        </w:rPr>
        <w:t>）。全年举办线上、线下学术讲座近50场，共邀请40余名国内知名学者讲学。鼓励教师尤其是40岁以下的青年教师积极参加境内外学术交流，采取“线上＋线下”的方式继续组织开展青年教师年度学术热点与重大学术问题报告会与研究生学术沙龙活动，效果良好。</w:t>
      </w:r>
    </w:p>
    <w:p>
      <w:pPr>
        <w:widowControl/>
        <w:spacing w:line="560" w:lineRule="exact"/>
        <w:ind w:firstLine="640" w:firstLineChars="200"/>
        <w:textAlignment w:val="baseline"/>
        <w:rPr>
          <w:rStyle w:val="11"/>
          <w:rFonts w:ascii="黑体" w:hAnsi="黑体" w:eastAsia="黑体"/>
          <w:szCs w:val="32"/>
        </w:rPr>
      </w:pPr>
      <w:r>
        <w:rPr>
          <w:rStyle w:val="11"/>
          <w:rFonts w:hint="eastAsia" w:ascii="黑体" w:hAnsi="黑体" w:eastAsia="黑体"/>
          <w:szCs w:val="32"/>
        </w:rPr>
        <w:t>五、学位点质量评估与分析</w:t>
      </w:r>
    </w:p>
    <w:p>
      <w:pPr>
        <w:pStyle w:val="3"/>
        <w:spacing w:before="29"/>
        <w:ind w:firstLine="640" w:firstLineChars="200"/>
        <w:rPr>
          <w:rFonts w:hint="eastAsia" w:ascii="仿宋_GB2312" w:hAnsi="仿宋_GB2312" w:eastAsia="仿宋_GB2312" w:cs="仿宋_GB2312"/>
          <w:kern w:val="2"/>
          <w:sz w:val="32"/>
          <w:szCs w:val="32"/>
          <w:lang w:val="zh-CN" w:eastAsia="zh-CN" w:bidi="zh-CN"/>
        </w:rPr>
      </w:pPr>
      <w:r>
        <w:rPr>
          <w:rFonts w:hint="eastAsia" w:ascii="仿宋_GB2312" w:hAnsi="仿宋_GB2312" w:eastAsia="仿宋_GB2312" w:cs="仿宋_GB2312"/>
          <w:kern w:val="2"/>
          <w:sz w:val="32"/>
          <w:szCs w:val="32"/>
          <w:lang w:val="zh-CN" w:eastAsia="zh-CN" w:bidi="zh-CN"/>
        </w:rPr>
        <w:t>本学位点严格按照《关于填报学位授权点基本状态信息的通知》（国家学位办〔2022〕4 号）》以及校发《关于做好学位授权点基本状态信息系统填报工作的通知》的要求，组建了马克思主义理论学科自我评估工作小组，实行学科带头人负责制，制定相关工作的安排与计划，并安排专人进行相关数据的收集与整理，并聘请同领域的专家学者指导本学科的建设工作，自我评估工作有序开展。</w:t>
      </w:r>
    </w:p>
    <w:p>
      <w:pPr>
        <w:pStyle w:val="3"/>
        <w:spacing w:before="29"/>
        <w:ind w:firstLine="640" w:firstLineChars="200"/>
        <w:rPr>
          <w:rFonts w:hint="eastAsia" w:ascii="仿宋_GB2312" w:hAnsi="仿宋_GB2312" w:eastAsia="仿宋_GB2312" w:cs="仿宋_GB2312"/>
          <w:kern w:val="2"/>
          <w:sz w:val="32"/>
          <w:szCs w:val="32"/>
          <w:lang w:val="zh-CN" w:eastAsia="zh-CN" w:bidi="zh-CN"/>
        </w:rPr>
      </w:pPr>
      <w:r>
        <w:rPr>
          <w:rFonts w:hint="eastAsia" w:ascii="仿宋_GB2312" w:hAnsi="仿宋_GB2312" w:eastAsia="仿宋_GB2312" w:cs="仿宋_GB2312"/>
          <w:kern w:val="2"/>
          <w:sz w:val="32"/>
          <w:szCs w:val="32"/>
          <w:lang w:val="en-US" w:eastAsia="zh-CN" w:bidi="zh-CN"/>
        </w:rPr>
        <w:t>总体来看，</w:t>
      </w:r>
      <w:r>
        <w:rPr>
          <w:rFonts w:hint="eastAsia" w:ascii="仿宋_GB2312" w:hAnsi="仿宋_GB2312" w:eastAsia="仿宋_GB2312" w:cs="仿宋_GB2312"/>
          <w:kern w:val="2"/>
          <w:sz w:val="32"/>
          <w:szCs w:val="32"/>
          <w:lang w:val="zh-CN" w:eastAsia="zh-CN" w:bidi="zh-CN"/>
        </w:rPr>
        <w:t>本学位点</w:t>
      </w:r>
      <w:r>
        <w:rPr>
          <w:rFonts w:hint="eastAsia" w:ascii="仿宋_GB2312" w:hAnsi="仿宋_GB2312" w:eastAsia="仿宋_GB2312" w:cs="仿宋_GB2312"/>
          <w:kern w:val="2"/>
          <w:sz w:val="32"/>
          <w:szCs w:val="32"/>
          <w:lang w:val="en-US" w:eastAsia="zh-CN" w:bidi="zh-CN"/>
        </w:rPr>
        <w:t>在</w:t>
      </w:r>
      <w:r>
        <w:rPr>
          <w:rFonts w:hint="eastAsia" w:ascii="仿宋_GB2312" w:hAnsi="仿宋_GB2312" w:eastAsia="仿宋_GB2312" w:cs="仿宋_GB2312"/>
          <w:kern w:val="2"/>
          <w:sz w:val="32"/>
          <w:szCs w:val="32"/>
          <w:lang w:val="zh-CN" w:eastAsia="zh-CN" w:bidi="zh-CN"/>
        </w:rPr>
        <w:t>研究生导师力量及科研</w:t>
      </w:r>
      <w:r>
        <w:rPr>
          <w:rFonts w:hint="eastAsia" w:ascii="仿宋_GB2312" w:hAnsi="仿宋_GB2312" w:eastAsia="仿宋_GB2312" w:cs="仿宋_GB2312"/>
          <w:kern w:val="2"/>
          <w:sz w:val="32"/>
          <w:szCs w:val="32"/>
          <w:lang w:val="en-US" w:eastAsia="zh-CN" w:bidi="zh-CN"/>
        </w:rPr>
        <w:t>方面</w:t>
      </w:r>
      <w:r>
        <w:rPr>
          <w:rFonts w:hint="eastAsia" w:ascii="仿宋_GB2312" w:hAnsi="仿宋_GB2312" w:eastAsia="仿宋_GB2312" w:cs="仿宋_GB2312"/>
          <w:kern w:val="2"/>
          <w:sz w:val="32"/>
          <w:szCs w:val="32"/>
          <w:lang w:val="zh-CN" w:eastAsia="zh-CN" w:bidi="zh-CN"/>
        </w:rPr>
        <w:t>在国内同类别高校中属于上游，</w:t>
      </w:r>
      <w:r>
        <w:rPr>
          <w:rFonts w:hint="eastAsia" w:ascii="仿宋_GB2312" w:hAnsi="仿宋_GB2312" w:eastAsia="仿宋_GB2312" w:cs="仿宋_GB2312"/>
          <w:kern w:val="2"/>
          <w:sz w:val="32"/>
          <w:szCs w:val="32"/>
          <w:lang w:val="en-US" w:eastAsia="zh-CN" w:bidi="zh-CN"/>
        </w:rPr>
        <w:t>然而</w:t>
      </w:r>
      <w:r>
        <w:rPr>
          <w:rFonts w:hint="eastAsia" w:ascii="仿宋_GB2312" w:hAnsi="仿宋_GB2312" w:eastAsia="仿宋_GB2312" w:cs="仿宋_GB2312"/>
          <w:kern w:val="2"/>
          <w:sz w:val="32"/>
          <w:szCs w:val="32"/>
          <w:lang w:val="zh-CN" w:eastAsia="zh-CN" w:bidi="zh-CN"/>
        </w:rPr>
        <w:t>从研究生培养的质量来看仍存在不足，具体来说：第一，生源质量不佳，学生学术功底较为薄弱；第二，对学生的过程性考察不够，有部分研究生导师对研究生的日常指导频次不高、效果不佳；第三，学院未能从制度层面完善研究生人才培养问题。在近些年硕士研究生学位论文抽检中偶有查重率过高、未通过论文盲审等现象，博士研究生延期毕业较多。究其原因一方面在于研究生自身功底弱、学习不够努力，另一方面也与学位点及研究生导师的指导不够有关。</w:t>
      </w:r>
    </w:p>
    <w:p>
      <w:pPr>
        <w:widowControl/>
        <w:numPr>
          <w:ilvl w:val="0"/>
          <w:numId w:val="2"/>
        </w:numPr>
        <w:spacing w:line="560" w:lineRule="exact"/>
        <w:ind w:firstLine="640" w:firstLineChars="200"/>
        <w:textAlignment w:val="baseline"/>
        <w:rPr>
          <w:rStyle w:val="11"/>
          <w:rFonts w:hint="eastAsia" w:ascii="黑体" w:hAnsi="黑体" w:eastAsia="黑体"/>
          <w:szCs w:val="32"/>
        </w:rPr>
      </w:pPr>
      <w:r>
        <w:rPr>
          <w:rStyle w:val="11"/>
          <w:rFonts w:hint="eastAsia" w:ascii="黑体" w:hAnsi="黑体" w:eastAsia="黑体"/>
          <w:szCs w:val="32"/>
        </w:rPr>
        <w:t>改进措施</w:t>
      </w:r>
    </w:p>
    <w:p>
      <w:pPr>
        <w:widowControl/>
        <w:numPr>
          <w:ilvl w:val="0"/>
          <w:numId w:val="0"/>
        </w:numPr>
        <w:spacing w:line="560" w:lineRule="exact"/>
        <w:ind w:firstLine="640" w:firstLineChars="200"/>
        <w:textAlignment w:val="baseline"/>
        <w:rPr>
          <w:rFonts w:hint="eastAsia" w:ascii="仿宋_GB2312" w:hAnsi="仿宋_GB2312" w:eastAsia="仿宋_GB2312" w:cs="仿宋_GB2312"/>
          <w:kern w:val="2"/>
          <w:sz w:val="32"/>
          <w:szCs w:val="32"/>
          <w:lang w:val="zh-CN" w:eastAsia="zh-CN" w:bidi="zh-CN"/>
        </w:rPr>
      </w:pPr>
      <w:r>
        <w:rPr>
          <w:rFonts w:hint="eastAsia" w:ascii="仿宋_GB2312" w:hAnsi="仿宋_GB2312" w:eastAsia="仿宋_GB2312" w:cs="仿宋_GB2312"/>
          <w:kern w:val="2"/>
          <w:sz w:val="32"/>
          <w:szCs w:val="32"/>
          <w:lang w:val="zh-CN" w:eastAsia="zh-CN" w:bidi="zh-CN"/>
        </w:rPr>
        <w:t>为提</w:t>
      </w:r>
      <w:r>
        <w:rPr>
          <w:rFonts w:hint="eastAsia" w:ascii="仿宋_GB2312" w:hAnsi="仿宋_GB2312" w:eastAsia="仿宋_GB2312" w:cs="仿宋_GB2312"/>
          <w:kern w:val="2"/>
          <w:sz w:val="32"/>
          <w:szCs w:val="32"/>
          <w:lang w:val="en-US" w:eastAsia="zh-CN" w:bidi="zh-CN"/>
        </w:rPr>
        <w:t>高</w:t>
      </w:r>
      <w:r>
        <w:rPr>
          <w:rFonts w:hint="eastAsia" w:ascii="仿宋_GB2312" w:hAnsi="仿宋_GB2312" w:eastAsia="仿宋_GB2312" w:cs="仿宋_GB2312"/>
          <w:kern w:val="2"/>
          <w:sz w:val="32"/>
          <w:szCs w:val="32"/>
          <w:lang w:val="zh-CN" w:eastAsia="zh-CN" w:bidi="zh-CN"/>
        </w:rPr>
        <w:t>本学位点人才培养质量，针对现有问题，拟从以下几个方面改进：</w:t>
      </w:r>
    </w:p>
    <w:p>
      <w:pPr>
        <w:widowControl/>
        <w:numPr>
          <w:ilvl w:val="0"/>
          <w:numId w:val="3"/>
        </w:numPr>
        <w:spacing w:line="560" w:lineRule="exact"/>
        <w:ind w:firstLine="640" w:firstLineChars="200"/>
        <w:textAlignment w:val="baseline"/>
        <w:rPr>
          <w:rFonts w:hint="eastAsia" w:ascii="仿宋_GB2312" w:hAnsi="仿宋_GB2312" w:eastAsia="仿宋_GB2312" w:cs="仿宋_GB2312"/>
          <w:kern w:val="2"/>
          <w:sz w:val="32"/>
          <w:szCs w:val="32"/>
          <w:lang w:val="zh-CN" w:eastAsia="zh-CN" w:bidi="zh-CN"/>
        </w:rPr>
      </w:pPr>
      <w:r>
        <w:rPr>
          <w:rFonts w:hint="eastAsia" w:ascii="仿宋_GB2312" w:hAnsi="仿宋_GB2312" w:eastAsia="仿宋_GB2312" w:cs="仿宋_GB2312"/>
          <w:kern w:val="2"/>
          <w:sz w:val="32"/>
          <w:szCs w:val="32"/>
          <w:lang w:val="zh-CN" w:eastAsia="zh-CN" w:bidi="zh-CN"/>
        </w:rPr>
        <w:t>加强研究生导师的选拔和管理工作。除对研究生学术能力、师德师风考察外，还应加强对研究生导师教学能力及研究生指导工作的过程性考察。实施导师结构与类型优化项目、导师交流平台建设项目、师德师风建设项目等工程以强化研究生导师</w:t>
      </w:r>
      <w:r>
        <w:rPr>
          <w:rFonts w:hint="eastAsia" w:ascii="仿宋_GB2312" w:hAnsi="仿宋_GB2312" w:eastAsia="仿宋_GB2312" w:cs="仿宋_GB2312"/>
          <w:kern w:val="2"/>
          <w:sz w:val="32"/>
          <w:szCs w:val="32"/>
          <w:lang w:val="en-US" w:eastAsia="zh-CN" w:bidi="zh-CN"/>
        </w:rPr>
        <w:t>管理</w:t>
      </w:r>
      <w:r>
        <w:rPr>
          <w:rFonts w:hint="eastAsia" w:ascii="仿宋_GB2312" w:hAnsi="仿宋_GB2312" w:eastAsia="仿宋_GB2312" w:cs="仿宋_GB2312"/>
          <w:kern w:val="2"/>
          <w:sz w:val="32"/>
          <w:szCs w:val="32"/>
          <w:lang w:val="zh-CN" w:eastAsia="zh-CN" w:bidi="zh-CN"/>
        </w:rPr>
        <w:t>。</w:t>
      </w:r>
    </w:p>
    <w:p>
      <w:pPr>
        <w:widowControl/>
        <w:numPr>
          <w:ilvl w:val="0"/>
          <w:numId w:val="3"/>
        </w:numPr>
        <w:spacing w:line="560" w:lineRule="exact"/>
        <w:ind w:firstLine="640" w:firstLineChars="200"/>
        <w:textAlignment w:val="baseline"/>
        <w:rPr>
          <w:rFonts w:hint="eastAsia" w:ascii="仿宋_GB2312" w:hAnsi="仿宋_GB2312" w:eastAsia="仿宋_GB2312" w:cs="仿宋_GB2312"/>
          <w:kern w:val="2"/>
          <w:sz w:val="32"/>
          <w:szCs w:val="32"/>
          <w:lang w:val="zh-CN" w:eastAsia="zh-CN" w:bidi="zh-CN"/>
        </w:rPr>
      </w:pPr>
      <w:r>
        <w:rPr>
          <w:rFonts w:hint="eastAsia" w:ascii="仿宋_GB2312" w:hAnsi="仿宋_GB2312" w:eastAsia="仿宋_GB2312" w:cs="仿宋_GB2312"/>
          <w:kern w:val="2"/>
          <w:sz w:val="32"/>
          <w:szCs w:val="32"/>
          <w:lang w:val="zh-CN" w:eastAsia="zh-CN" w:bidi="zh-CN"/>
        </w:rPr>
        <w:t>加强对研究生过程性考察，提高研究生学术能力，树立正确价值观、道德观。从生源质量、课程设置、教学方式、学术能力、实践能力、职业规划、思想政治教育等方面提高研究生培养质量。</w:t>
      </w:r>
      <w:bookmarkStart w:id="0" w:name="_GoBack"/>
      <w:bookmarkEnd w:id="0"/>
    </w:p>
    <w:p>
      <w:pPr>
        <w:widowControl/>
        <w:numPr>
          <w:ilvl w:val="0"/>
          <w:numId w:val="3"/>
        </w:numPr>
        <w:spacing w:line="560" w:lineRule="exact"/>
        <w:ind w:left="0" w:leftChars="0" w:firstLine="640" w:firstLineChars="200"/>
        <w:textAlignment w:val="baseline"/>
        <w:rPr>
          <w:rFonts w:hint="eastAsia" w:ascii="仿宋_GB2312" w:hAnsi="仿宋_GB2312" w:eastAsia="仿宋_GB2312" w:cs="仿宋_GB2312"/>
          <w:kern w:val="2"/>
          <w:sz w:val="32"/>
          <w:szCs w:val="32"/>
          <w:lang w:val="zh-CN" w:eastAsia="zh-CN" w:bidi="zh-CN"/>
        </w:rPr>
      </w:pPr>
      <w:r>
        <w:rPr>
          <w:rFonts w:hint="eastAsia" w:ascii="仿宋_GB2312" w:hAnsi="仿宋_GB2312" w:eastAsia="仿宋_GB2312" w:cs="仿宋_GB2312"/>
          <w:kern w:val="2"/>
          <w:sz w:val="32"/>
          <w:szCs w:val="32"/>
          <w:lang w:val="zh-CN" w:eastAsia="zh-CN" w:bidi="zh-CN"/>
        </w:rPr>
        <w:t>建立完善人才培养质量监控机制，构建研究生教育质量工程的保障体系。首先，学院成立研究生教育质量工程领导小组和工作小组，提供组织保障；其次，学位点、研究生导师要把更多精力和财力投入到提高质量上，要根据研究生教育改革和发展的新形势与新任务，围绕影响研究生教育质量的主要方面，明确目标，落实责任，扎实推进质量工程建设；再次，不断完善长效、多元的研究生奖助政策体系。</w:t>
      </w:r>
    </w:p>
    <w:p>
      <w:pPr>
        <w:widowControl/>
        <w:numPr>
          <w:ilvl w:val="0"/>
          <w:numId w:val="0"/>
        </w:numPr>
        <w:spacing w:line="560" w:lineRule="exact"/>
        <w:ind w:firstLine="640" w:firstLineChars="200"/>
        <w:textAlignment w:val="baseline"/>
        <w:rPr>
          <w:rFonts w:hint="eastAsia" w:ascii="仿宋_GB2312" w:hAnsi="仿宋_GB2312" w:eastAsia="仿宋_GB2312" w:cs="仿宋_GB2312"/>
          <w:kern w:val="2"/>
          <w:sz w:val="32"/>
          <w:szCs w:val="32"/>
          <w:lang w:val="zh-CN" w:eastAsia="zh-CN" w:bidi="zh-CN"/>
        </w:rPr>
      </w:pPr>
      <w:r>
        <w:rPr>
          <w:rFonts w:hint="eastAsia" w:ascii="仿宋_GB2312" w:hAnsi="仿宋_GB2312" w:eastAsia="仿宋_GB2312" w:cs="仿宋_GB2312"/>
          <w:kern w:val="2"/>
          <w:sz w:val="32"/>
          <w:szCs w:val="32"/>
          <w:lang w:val="zh-CN" w:eastAsia="zh-CN" w:bidi="zh-CN"/>
        </w:rPr>
        <w:t>最后，学院根据研究生教育质量工程的目标和任务，制定更为具体的、操作性更强的专项实施方案或条例。学院领导小组定期对质量工程建设项目进行检查和评估。</w:t>
      </w:r>
    </w:p>
    <w:p>
      <w:pPr>
        <w:widowControl/>
        <w:adjustRightInd w:val="0"/>
        <w:snapToGrid w:val="0"/>
        <w:ind w:firstLine="640" w:firstLineChars="200"/>
        <w:textAlignment w:val="baseline"/>
        <w:rPr>
          <w:rFonts w:hint="eastAsia" w:ascii="仿宋_GB2312" w:hAnsi="仿宋_GB2312" w:eastAsia="仿宋_GB2312" w:cs="仿宋_GB2312"/>
          <w:kern w:val="2"/>
          <w:sz w:val="32"/>
          <w:szCs w:val="32"/>
          <w:lang w:val="zh-CN" w:eastAsia="zh-CN" w:bidi="zh-CN"/>
        </w:rPr>
      </w:pPr>
    </w:p>
    <w:p>
      <w:pPr>
        <w:widowControl/>
        <w:adjustRightInd w:val="0"/>
        <w:snapToGrid w:val="0"/>
        <w:ind w:firstLine="640" w:firstLineChars="200"/>
        <w:textAlignment w:val="baseline"/>
        <w:rPr>
          <w:rFonts w:hint="eastAsia" w:ascii="仿宋_GB2312" w:hAnsi="仿宋_GB2312" w:eastAsia="仿宋_GB2312" w:cs="仿宋_GB2312"/>
          <w:kern w:val="2"/>
          <w:sz w:val="32"/>
          <w:szCs w:val="32"/>
          <w:lang w:val="zh-CN" w:eastAsia="zh-CN" w:bidi="zh-CN"/>
        </w:rPr>
      </w:pPr>
    </w:p>
    <w:p>
      <w:pPr>
        <w:widowControl/>
        <w:adjustRightInd w:val="0"/>
        <w:snapToGrid w:val="0"/>
        <w:ind w:firstLine="640" w:firstLineChars="200"/>
        <w:textAlignment w:val="baseline"/>
        <w:rPr>
          <w:rFonts w:hint="eastAsia" w:ascii="仿宋_GB2312" w:hAnsi="仿宋_GB2312" w:eastAsia="仿宋_GB2312" w:cs="仿宋_GB2312"/>
          <w:kern w:val="2"/>
          <w:sz w:val="32"/>
          <w:szCs w:val="32"/>
          <w:lang w:val="zh-CN" w:eastAsia="zh-CN" w:bidi="zh-CN"/>
        </w:rPr>
      </w:pPr>
    </w:p>
    <w:p>
      <w:pPr>
        <w:widowControl/>
        <w:adjustRightInd w:val="0"/>
        <w:snapToGrid w:val="0"/>
        <w:ind w:firstLine="640" w:firstLineChars="200"/>
        <w:textAlignment w:val="baseline"/>
        <w:rPr>
          <w:rFonts w:hint="eastAsia" w:ascii="仿宋_GB2312" w:hAnsi="仿宋_GB2312" w:eastAsia="仿宋_GB2312" w:cs="仿宋_GB2312"/>
          <w:kern w:val="2"/>
          <w:sz w:val="32"/>
          <w:szCs w:val="32"/>
          <w:lang w:val="zh-CN" w:eastAsia="zh-CN" w:bidi="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idowControl/>
      <w:textAlignment w:val="baseline"/>
      <w:rPr>
        <w:rStyle w:val="11"/>
        <w:rFonts w:ascii="Times New Roman" w:hAnsi="Times New Roman"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E00FDD"/>
    <w:multiLevelType w:val="singleLevel"/>
    <w:tmpl w:val="EEE00FDD"/>
    <w:lvl w:ilvl="0" w:tentative="0">
      <w:start w:val="1"/>
      <w:numFmt w:val="chineseCounting"/>
      <w:suff w:val="nothing"/>
      <w:lvlText w:val="第%1，"/>
      <w:lvlJc w:val="left"/>
      <w:rPr>
        <w:rFonts w:hint="eastAsia"/>
      </w:rPr>
    </w:lvl>
  </w:abstractNum>
  <w:abstractNum w:abstractNumId="1">
    <w:nsid w:val="16497B66"/>
    <w:multiLevelType w:val="singleLevel"/>
    <w:tmpl w:val="16497B66"/>
    <w:lvl w:ilvl="0" w:tentative="0">
      <w:start w:val="3"/>
      <w:numFmt w:val="chineseCounting"/>
      <w:suff w:val="nothing"/>
      <w:lvlText w:val="%1、"/>
      <w:lvlJc w:val="left"/>
      <w:pPr>
        <w:ind w:left="410"/>
      </w:pPr>
      <w:rPr>
        <w:rFonts w:hint="eastAsia"/>
      </w:rPr>
    </w:lvl>
  </w:abstractNum>
  <w:abstractNum w:abstractNumId="2">
    <w:nsid w:val="49F687DB"/>
    <w:multiLevelType w:val="singleLevel"/>
    <w:tmpl w:val="49F687DB"/>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6E"/>
    <w:rsid w:val="000D1FDF"/>
    <w:rsid w:val="001245D7"/>
    <w:rsid w:val="00267D41"/>
    <w:rsid w:val="00270842"/>
    <w:rsid w:val="00366D82"/>
    <w:rsid w:val="003B1E24"/>
    <w:rsid w:val="003D03C6"/>
    <w:rsid w:val="003D582B"/>
    <w:rsid w:val="00434E8F"/>
    <w:rsid w:val="00467A4A"/>
    <w:rsid w:val="0052436E"/>
    <w:rsid w:val="0054671E"/>
    <w:rsid w:val="00555F1E"/>
    <w:rsid w:val="00593D50"/>
    <w:rsid w:val="005A5E36"/>
    <w:rsid w:val="005B4384"/>
    <w:rsid w:val="00600BDF"/>
    <w:rsid w:val="00643A58"/>
    <w:rsid w:val="00681C97"/>
    <w:rsid w:val="006D6829"/>
    <w:rsid w:val="00733CD8"/>
    <w:rsid w:val="00744327"/>
    <w:rsid w:val="00764281"/>
    <w:rsid w:val="00832645"/>
    <w:rsid w:val="00833486"/>
    <w:rsid w:val="008968EF"/>
    <w:rsid w:val="008E6EF9"/>
    <w:rsid w:val="008F5F8F"/>
    <w:rsid w:val="00907957"/>
    <w:rsid w:val="00941173"/>
    <w:rsid w:val="00943131"/>
    <w:rsid w:val="00983706"/>
    <w:rsid w:val="009938EE"/>
    <w:rsid w:val="00A0673F"/>
    <w:rsid w:val="00AC60A2"/>
    <w:rsid w:val="00AE54C2"/>
    <w:rsid w:val="00B54E4C"/>
    <w:rsid w:val="00B572AD"/>
    <w:rsid w:val="00C6443A"/>
    <w:rsid w:val="00CE6CD6"/>
    <w:rsid w:val="00D36BC8"/>
    <w:rsid w:val="00D576D1"/>
    <w:rsid w:val="00D67B32"/>
    <w:rsid w:val="00D67D21"/>
    <w:rsid w:val="00DA4F52"/>
    <w:rsid w:val="00E90393"/>
    <w:rsid w:val="00E92107"/>
    <w:rsid w:val="00EB5D27"/>
    <w:rsid w:val="00F36D07"/>
    <w:rsid w:val="00FD4B36"/>
    <w:rsid w:val="00FD4F8A"/>
    <w:rsid w:val="00FF1B82"/>
    <w:rsid w:val="01E6602E"/>
    <w:rsid w:val="02661E94"/>
    <w:rsid w:val="033F20BF"/>
    <w:rsid w:val="04CB4213"/>
    <w:rsid w:val="05857FF9"/>
    <w:rsid w:val="05941C65"/>
    <w:rsid w:val="08521ABF"/>
    <w:rsid w:val="08A46C9C"/>
    <w:rsid w:val="0AA640AF"/>
    <w:rsid w:val="153E5FDC"/>
    <w:rsid w:val="197417E0"/>
    <w:rsid w:val="1D776595"/>
    <w:rsid w:val="1EA86412"/>
    <w:rsid w:val="24A202CF"/>
    <w:rsid w:val="284A68B1"/>
    <w:rsid w:val="28F95DBD"/>
    <w:rsid w:val="2C324E08"/>
    <w:rsid w:val="305C4EB7"/>
    <w:rsid w:val="31880C30"/>
    <w:rsid w:val="32D32556"/>
    <w:rsid w:val="38064FA4"/>
    <w:rsid w:val="399816E5"/>
    <w:rsid w:val="3B3F4A55"/>
    <w:rsid w:val="3D232615"/>
    <w:rsid w:val="3EF0385B"/>
    <w:rsid w:val="400719F2"/>
    <w:rsid w:val="442F6680"/>
    <w:rsid w:val="47FF699E"/>
    <w:rsid w:val="4A12040E"/>
    <w:rsid w:val="4E202FBC"/>
    <w:rsid w:val="5508738C"/>
    <w:rsid w:val="5C842E71"/>
    <w:rsid w:val="5DEE19A0"/>
    <w:rsid w:val="605F6239"/>
    <w:rsid w:val="62726394"/>
    <w:rsid w:val="641151CE"/>
    <w:rsid w:val="6C1331CB"/>
    <w:rsid w:val="7077709F"/>
    <w:rsid w:val="719F7F81"/>
    <w:rsid w:val="72BB39FD"/>
    <w:rsid w:val="7CE24CA2"/>
    <w:rsid w:val="7FF10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2"/>
    <w:semiHidden/>
    <w:unhideWhenUsed/>
    <w:qFormat/>
    <w:uiPriority w:val="9"/>
    <w:pPr>
      <w:keepNext/>
      <w:keepLines/>
      <w:spacing w:before="260" w:after="260" w:line="415" w:lineRule="auto"/>
      <w:outlineLvl w:val="2"/>
    </w:pPr>
    <w:rPr>
      <w:rFonts w:eastAsia="方正仿宋简体"/>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20"/>
    </w:pPr>
    <w:rPr>
      <w:rFonts w:ascii="仿宋_GB2312" w:hAnsi="仿宋_GB2312" w:eastAsia="仿宋_GB2312" w:cs="仿宋_GB2312"/>
      <w:sz w:val="32"/>
      <w:szCs w:val="32"/>
      <w:lang w:val="zh-CN" w:eastAsia="zh-CN" w:bidi="zh-CN"/>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字符"/>
    <w:basedOn w:val="8"/>
    <w:link w:val="5"/>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NormalCharacter"/>
    <w:semiHidden/>
    <w:qFormat/>
    <w:uiPriority w:val="0"/>
    <w:rPr>
      <w:rFonts w:eastAsia="方正仿宋简体" w:asciiTheme="minorHAnsi" w:hAnsiTheme="minorHAnsi" w:cstheme="minorBidi"/>
      <w:kern w:val="2"/>
      <w:sz w:val="32"/>
      <w:szCs w:val="24"/>
      <w:lang w:val="en-US" w:eastAsia="zh-CN" w:bidi="ar-SA"/>
    </w:rPr>
  </w:style>
  <w:style w:type="character" w:customStyle="1" w:styleId="12">
    <w:name w:val="标题 3 字符"/>
    <w:basedOn w:val="8"/>
    <w:link w:val="2"/>
    <w:semiHidden/>
    <w:uiPriority w:val="9"/>
    <w:rPr>
      <w:rFonts w:eastAsia="方正仿宋简体"/>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7B1ADC-C26E-4B1A-A07E-CD30D5D26041}">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407</Words>
  <Characters>2326</Characters>
  <Lines>19</Lines>
  <Paragraphs>5</Paragraphs>
  <TotalTime>24</TotalTime>
  <ScaleCrop>false</ScaleCrop>
  <LinksUpToDate>false</LinksUpToDate>
  <CharactersWithSpaces>2728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2022-03-24T02:03:00Z</dcterms:created>
  <dc:creator>江伟(002723)</dc:creator>
  <cp:lastModifiedBy>lenovo</cp:lastModifiedBy>
  <cp:lastPrinted>2022-03-24T03:11:00Z</cp:lastPrinted>
  <dcterms:modified xsi:type="dcterms:W3CDTF">2022-05-05T13:50:33Z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59401771FB134929930174EBC81E2B9B</vt:lpwstr>
  </property>
</Properties>
</file>